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103D6F">
      <w:pPr>
        <w:adjustRightInd w:val="0"/>
        <w:snapToGrid w:val="0"/>
        <w:spacing w:line="360" w:lineRule="auto"/>
        <w:jc w:val="center"/>
        <w:rPr>
          <w:rFonts w:hint="eastAsia" w:ascii="宋体" w:hAnsi="宋体"/>
          <w:b/>
          <w:sz w:val="28"/>
        </w:rPr>
      </w:pPr>
      <w:r>
        <w:rPr>
          <w:rFonts w:hint="eastAsia" w:ascii="宋体" w:hAnsi="宋体"/>
          <w:sz w:val="28"/>
        </w:rPr>
        <w:t xml:space="preserve">         </w:t>
      </w:r>
      <w:r>
        <w:rPr>
          <w:rFonts w:hint="eastAsia" w:ascii="宋体" w:hAnsi="宋体"/>
          <w:b/>
          <w:sz w:val="28"/>
        </w:rPr>
        <w:t xml:space="preserve"> </w:t>
      </w:r>
    </w:p>
    <w:p w14:paraId="3CA10EC6">
      <w:pPr>
        <w:spacing w:line="480" w:lineRule="auto"/>
        <w:jc w:val="center"/>
        <w:rPr>
          <w:rFonts w:hint="eastAsia" w:ascii="宋体" w:hAnsi="宋体"/>
          <w:b/>
          <w:bCs/>
          <w:sz w:val="44"/>
          <w:szCs w:val="44"/>
        </w:rPr>
      </w:pPr>
      <w:r>
        <w:rPr>
          <w:rFonts w:hint="eastAsia" w:ascii="宋体" w:hAnsi="宋体"/>
          <w:b/>
          <w:bCs/>
          <w:sz w:val="44"/>
          <w:szCs w:val="44"/>
        </w:rPr>
        <w:t>福建省东南电化股份有限公司</w:t>
      </w:r>
    </w:p>
    <w:p w14:paraId="19E680D7">
      <w:pPr>
        <w:spacing w:line="480" w:lineRule="auto"/>
        <w:jc w:val="center"/>
        <w:rPr>
          <w:rFonts w:hint="eastAsia" w:ascii="宋体" w:hAnsi="宋体"/>
          <w:b/>
          <w:bCs/>
          <w:sz w:val="44"/>
          <w:szCs w:val="44"/>
        </w:rPr>
      </w:pPr>
      <w:r>
        <w:rPr>
          <w:rFonts w:hint="eastAsia" w:ascii="宋体" w:hAnsi="宋体"/>
          <w:b/>
          <w:bCs/>
          <w:sz w:val="44"/>
          <w:szCs w:val="44"/>
        </w:rPr>
        <w:t>在线监测系统运维项目</w:t>
      </w:r>
    </w:p>
    <w:p w14:paraId="79B0695A">
      <w:pPr>
        <w:spacing w:line="360" w:lineRule="auto"/>
        <w:rPr>
          <w:rFonts w:hint="eastAsia" w:ascii="宋体" w:hAnsi="宋体"/>
          <w:b/>
          <w:bCs/>
          <w:sz w:val="48"/>
          <w:szCs w:val="48"/>
        </w:rPr>
      </w:pPr>
    </w:p>
    <w:p w14:paraId="0835FAB2">
      <w:pPr>
        <w:spacing w:line="360" w:lineRule="auto"/>
        <w:rPr>
          <w:rFonts w:hint="eastAsia" w:ascii="宋体" w:hAnsi="宋体"/>
          <w:b/>
          <w:bCs/>
          <w:sz w:val="48"/>
          <w:szCs w:val="48"/>
        </w:rPr>
      </w:pPr>
    </w:p>
    <w:p w14:paraId="6E281E43">
      <w:pPr>
        <w:spacing w:line="360" w:lineRule="auto"/>
        <w:rPr>
          <w:rFonts w:hint="eastAsia" w:ascii="宋体" w:hAnsi="宋体"/>
          <w:b/>
          <w:bCs/>
          <w:sz w:val="48"/>
          <w:szCs w:val="48"/>
        </w:rPr>
      </w:pPr>
    </w:p>
    <w:p w14:paraId="10910A97">
      <w:pPr>
        <w:spacing w:line="360" w:lineRule="auto"/>
        <w:rPr>
          <w:rFonts w:hint="eastAsia" w:ascii="宋体" w:hAnsi="宋体"/>
          <w:b/>
          <w:bCs/>
          <w:sz w:val="48"/>
          <w:szCs w:val="48"/>
        </w:rPr>
      </w:pPr>
    </w:p>
    <w:p w14:paraId="37D5C514">
      <w:pPr>
        <w:spacing w:line="360" w:lineRule="auto"/>
        <w:jc w:val="center"/>
        <w:rPr>
          <w:rFonts w:hint="eastAsia" w:ascii="宋体" w:hAnsi="宋体"/>
          <w:b/>
          <w:bCs/>
          <w:sz w:val="48"/>
          <w:szCs w:val="48"/>
        </w:rPr>
      </w:pPr>
    </w:p>
    <w:p w14:paraId="301529D0">
      <w:pPr>
        <w:spacing w:line="360" w:lineRule="auto"/>
        <w:jc w:val="center"/>
        <w:rPr>
          <w:rFonts w:hint="eastAsia" w:ascii="宋体" w:hAnsi="宋体" w:eastAsia="宋体"/>
          <w:b/>
          <w:bCs/>
          <w:sz w:val="44"/>
          <w:szCs w:val="44"/>
          <w:lang w:val="en-US" w:eastAsia="zh-CN"/>
        </w:rPr>
      </w:pPr>
      <w:r>
        <w:rPr>
          <w:rFonts w:hint="eastAsia" w:ascii="宋体" w:hAnsi="宋体"/>
          <w:b/>
          <w:bCs/>
          <w:sz w:val="44"/>
          <w:szCs w:val="44"/>
        </w:rPr>
        <w:t>技术</w:t>
      </w:r>
      <w:r>
        <w:rPr>
          <w:rFonts w:hint="eastAsia" w:ascii="宋体" w:hAnsi="宋体"/>
          <w:b/>
          <w:bCs/>
          <w:sz w:val="44"/>
          <w:szCs w:val="44"/>
          <w:lang w:val="en-US" w:eastAsia="zh-CN"/>
        </w:rPr>
        <w:t>规格书</w:t>
      </w:r>
    </w:p>
    <w:p w14:paraId="65E09856">
      <w:pPr>
        <w:spacing w:line="360" w:lineRule="auto"/>
        <w:jc w:val="center"/>
        <w:rPr>
          <w:rFonts w:hint="eastAsia" w:ascii="宋体" w:hAnsi="宋体"/>
          <w:b/>
          <w:bCs/>
          <w:sz w:val="48"/>
          <w:szCs w:val="48"/>
        </w:rPr>
      </w:pPr>
    </w:p>
    <w:p w14:paraId="688F00B9">
      <w:pPr>
        <w:spacing w:line="360" w:lineRule="auto"/>
        <w:jc w:val="center"/>
        <w:rPr>
          <w:rFonts w:hint="eastAsia" w:ascii="宋体" w:hAnsi="宋体"/>
          <w:b/>
          <w:bCs/>
          <w:sz w:val="48"/>
          <w:szCs w:val="48"/>
        </w:rPr>
      </w:pPr>
    </w:p>
    <w:p w14:paraId="4AB23602">
      <w:pPr>
        <w:spacing w:line="360" w:lineRule="auto"/>
        <w:jc w:val="center"/>
        <w:rPr>
          <w:rFonts w:hint="eastAsia" w:ascii="宋体" w:hAnsi="宋体"/>
          <w:b/>
          <w:bCs/>
          <w:sz w:val="48"/>
          <w:szCs w:val="48"/>
        </w:rPr>
      </w:pPr>
    </w:p>
    <w:p w14:paraId="51E41958">
      <w:pPr>
        <w:spacing w:line="360" w:lineRule="auto"/>
        <w:jc w:val="center"/>
        <w:rPr>
          <w:rFonts w:hint="eastAsia" w:ascii="宋体" w:hAnsi="宋体"/>
          <w:b/>
          <w:bCs/>
          <w:sz w:val="48"/>
          <w:szCs w:val="48"/>
        </w:rPr>
      </w:pPr>
    </w:p>
    <w:p w14:paraId="23063A8E">
      <w:pPr>
        <w:spacing w:line="360" w:lineRule="auto"/>
        <w:jc w:val="center"/>
        <w:rPr>
          <w:rFonts w:hint="eastAsia" w:ascii="宋体" w:hAnsi="宋体"/>
          <w:b/>
          <w:bCs/>
          <w:sz w:val="48"/>
          <w:szCs w:val="48"/>
        </w:rPr>
      </w:pPr>
    </w:p>
    <w:p w14:paraId="3E839936">
      <w:pPr>
        <w:spacing w:line="360" w:lineRule="auto"/>
        <w:jc w:val="center"/>
        <w:rPr>
          <w:rFonts w:hint="eastAsia" w:ascii="宋体" w:hAnsi="宋体"/>
          <w:b/>
          <w:bCs/>
          <w:sz w:val="48"/>
          <w:szCs w:val="48"/>
        </w:rPr>
      </w:pPr>
    </w:p>
    <w:p w14:paraId="04977326">
      <w:pPr>
        <w:spacing w:line="360" w:lineRule="auto"/>
        <w:jc w:val="center"/>
        <w:rPr>
          <w:rFonts w:hint="eastAsia" w:ascii="宋体" w:hAnsi="宋体"/>
          <w:b/>
          <w:bCs/>
          <w:sz w:val="48"/>
          <w:szCs w:val="48"/>
        </w:rPr>
      </w:pPr>
    </w:p>
    <w:p w14:paraId="36A59B96">
      <w:pPr>
        <w:spacing w:line="360" w:lineRule="auto"/>
        <w:jc w:val="center"/>
        <w:rPr>
          <w:rFonts w:hint="eastAsia" w:ascii="宋体" w:hAnsi="宋体"/>
          <w:b/>
          <w:bCs/>
          <w:sz w:val="48"/>
          <w:szCs w:val="48"/>
        </w:rPr>
      </w:pPr>
    </w:p>
    <w:p w14:paraId="12706783">
      <w:pPr>
        <w:spacing w:line="360" w:lineRule="auto"/>
        <w:rPr>
          <w:rFonts w:hint="eastAsia" w:ascii="宋体" w:hAnsi="宋体"/>
          <w:b/>
          <w:bCs/>
          <w:sz w:val="48"/>
          <w:szCs w:val="48"/>
        </w:rPr>
      </w:pPr>
    </w:p>
    <w:p w14:paraId="5C25008E">
      <w:pPr>
        <w:spacing w:line="360" w:lineRule="auto"/>
        <w:jc w:val="center"/>
        <w:rPr>
          <w:rFonts w:hint="eastAsia" w:ascii="宋体" w:hAnsi="宋体"/>
          <w:b/>
          <w:bCs/>
          <w:sz w:val="48"/>
          <w:szCs w:val="48"/>
        </w:rPr>
      </w:pPr>
    </w:p>
    <w:p w14:paraId="275D14B4">
      <w:pPr>
        <w:spacing w:line="360" w:lineRule="auto"/>
        <w:jc w:val="center"/>
        <w:rPr>
          <w:rFonts w:hint="eastAsia" w:ascii="宋体" w:hAnsi="宋体"/>
          <w:b/>
          <w:bCs/>
          <w:sz w:val="48"/>
          <w:szCs w:val="48"/>
        </w:rPr>
      </w:pPr>
      <w:r>
        <w:rPr>
          <w:rFonts w:hint="eastAsia" w:ascii="宋体" w:hAnsi="宋体"/>
          <w:b/>
          <w:bCs/>
          <w:sz w:val="40"/>
          <w:szCs w:val="40"/>
        </w:rPr>
        <w:t>202</w:t>
      </w:r>
      <w:r>
        <w:rPr>
          <w:rFonts w:hint="eastAsia" w:ascii="宋体" w:hAnsi="宋体"/>
          <w:b/>
          <w:bCs/>
          <w:sz w:val="40"/>
          <w:szCs w:val="40"/>
          <w:lang w:val="en-US" w:eastAsia="zh-CN"/>
        </w:rPr>
        <w:t>6</w:t>
      </w:r>
      <w:r>
        <w:rPr>
          <w:rFonts w:hint="eastAsia" w:ascii="宋体" w:hAnsi="宋体"/>
          <w:b/>
          <w:bCs/>
          <w:sz w:val="40"/>
          <w:szCs w:val="40"/>
        </w:rPr>
        <w:t>年</w:t>
      </w:r>
      <w:r>
        <w:rPr>
          <w:rFonts w:hint="eastAsia" w:ascii="宋体" w:hAnsi="宋体"/>
          <w:b/>
          <w:bCs/>
          <w:sz w:val="40"/>
          <w:szCs w:val="40"/>
          <w:lang w:val="en-US" w:eastAsia="zh-CN"/>
        </w:rPr>
        <w:t>7</w:t>
      </w:r>
      <w:r>
        <w:rPr>
          <w:rFonts w:hint="eastAsia" w:ascii="宋体" w:hAnsi="宋体"/>
          <w:b/>
          <w:bCs/>
          <w:sz w:val="40"/>
          <w:szCs w:val="40"/>
        </w:rPr>
        <w:t>月</w:t>
      </w:r>
      <w:r>
        <w:rPr>
          <w:rFonts w:hint="eastAsia" w:ascii="宋体" w:hAnsi="宋体"/>
          <w:b/>
          <w:bCs/>
          <w:sz w:val="40"/>
          <w:szCs w:val="40"/>
          <w:lang w:val="en-US" w:eastAsia="zh-CN"/>
        </w:rPr>
        <w:t>8</w:t>
      </w:r>
      <w:r>
        <w:rPr>
          <w:rFonts w:hint="eastAsia" w:ascii="宋体" w:hAnsi="宋体"/>
          <w:b/>
          <w:bCs/>
          <w:sz w:val="40"/>
          <w:szCs w:val="40"/>
        </w:rPr>
        <w:t>日</w:t>
      </w:r>
    </w:p>
    <w:p w14:paraId="33B90D84">
      <w:pPr>
        <w:spacing w:line="360" w:lineRule="auto"/>
        <w:jc w:val="center"/>
        <w:rPr>
          <w:rFonts w:hint="eastAsia" w:ascii="宋体" w:hAnsi="宋体"/>
          <w:b/>
          <w:bCs/>
          <w:sz w:val="48"/>
          <w:szCs w:val="48"/>
        </w:rPr>
      </w:pPr>
    </w:p>
    <w:p w14:paraId="3EE90E46">
      <w:pPr>
        <w:spacing w:line="360" w:lineRule="auto"/>
        <w:jc w:val="center"/>
        <w:rPr>
          <w:rFonts w:hint="eastAsia" w:ascii="宋体" w:hAnsi="宋体"/>
          <w:b/>
          <w:bCs/>
          <w:sz w:val="48"/>
          <w:szCs w:val="48"/>
        </w:rPr>
      </w:pPr>
    </w:p>
    <w:p w14:paraId="1B8DDF8F">
      <w:pPr>
        <w:adjustRightInd w:val="0"/>
        <w:snapToGrid w:val="0"/>
        <w:spacing w:line="24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一、项目概述</w:t>
      </w:r>
    </w:p>
    <w:p w14:paraId="59E9E741">
      <w:pPr>
        <w:adjustRightInd w:val="0"/>
        <w:snapToGrid w:val="0"/>
        <w:spacing w:line="240" w:lineRule="auto"/>
        <w:ind w:firstLine="480" w:firstLineChars="200"/>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202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年度福建省东南电化股份有限公司（以下简称公司）在线监测系统运维项目，</w:t>
      </w:r>
      <w:r>
        <w:rPr>
          <w:rFonts w:hint="eastAsia" w:asciiTheme="minorEastAsia" w:hAnsiTheme="minorEastAsia" w:eastAsiaTheme="minorEastAsia" w:cstheme="minorEastAsia"/>
          <w:sz w:val="24"/>
          <w:szCs w:val="24"/>
          <w:lang w:val="en-US" w:eastAsia="zh-CN"/>
        </w:rPr>
        <w:t>包括</w:t>
      </w:r>
      <w:r>
        <w:rPr>
          <w:rFonts w:hint="eastAsia" w:asciiTheme="minorEastAsia" w:hAnsiTheme="minorEastAsia" w:eastAsiaTheme="minorEastAsia" w:cstheme="minorEastAsia"/>
          <w:i w:val="0"/>
          <w:iCs w:val="0"/>
          <w:caps w:val="0"/>
          <w:color w:val="000000"/>
          <w:spacing w:val="0"/>
          <w:sz w:val="24"/>
          <w:szCs w:val="24"/>
          <w:shd w:val="clear" w:color="auto" w:fill="FFFFFF"/>
        </w:rPr>
        <w:t>锅炉#1、#2脱硫出口烟气</w:t>
      </w:r>
      <w:r>
        <w:rPr>
          <w:rFonts w:hint="eastAsia" w:asciiTheme="minorEastAsia" w:hAnsiTheme="minorEastAsia" w:eastAsiaTheme="minorEastAsia" w:cstheme="minorEastAsia"/>
          <w:i w:val="0"/>
          <w:iCs w:val="0"/>
          <w:caps w:val="0"/>
          <w:color w:val="000000"/>
          <w:spacing w:val="0"/>
          <w:sz w:val="24"/>
          <w:szCs w:val="24"/>
          <w:shd w:val="clear" w:color="auto" w:fill="FFFFFF"/>
          <w:lang w:eastAsia="zh-CN"/>
        </w:rPr>
        <w:t>、</w:t>
      </w:r>
      <w:r>
        <w:rPr>
          <w:rFonts w:hint="eastAsia" w:asciiTheme="minorEastAsia" w:hAnsiTheme="minorEastAsia" w:eastAsiaTheme="minorEastAsia" w:cstheme="minorEastAsia"/>
          <w:i w:val="0"/>
          <w:iCs w:val="0"/>
          <w:caps w:val="0"/>
          <w:color w:val="000000"/>
          <w:spacing w:val="0"/>
          <w:sz w:val="24"/>
          <w:szCs w:val="24"/>
          <w:shd w:val="clear" w:color="auto" w:fill="FFFFFF"/>
        </w:rPr>
        <w:t>中水回用系统浓水</w:t>
      </w:r>
      <w:r>
        <w:rPr>
          <w:rFonts w:hint="eastAsia" w:asciiTheme="minorEastAsia" w:hAnsiTheme="minorEastAsia" w:eastAsiaTheme="minorEastAsia" w:cstheme="minorEastAsia"/>
          <w:i w:val="0"/>
          <w:iCs w:val="0"/>
          <w:caps w:val="0"/>
          <w:color w:val="000000"/>
          <w:spacing w:val="0"/>
          <w:sz w:val="24"/>
          <w:szCs w:val="24"/>
          <w:shd w:val="clear" w:color="auto" w:fill="FFFFFF"/>
          <w:lang w:eastAsia="zh-CN"/>
        </w:rPr>
        <w:t>、</w:t>
      </w:r>
      <w:r>
        <w:rPr>
          <w:rFonts w:hint="eastAsia" w:asciiTheme="minorEastAsia" w:hAnsiTheme="minorEastAsia" w:eastAsiaTheme="minorEastAsia" w:cstheme="minorEastAsia"/>
          <w:i w:val="0"/>
          <w:iCs w:val="0"/>
          <w:caps w:val="0"/>
          <w:color w:val="000000"/>
          <w:spacing w:val="0"/>
          <w:sz w:val="24"/>
          <w:szCs w:val="24"/>
          <w:shd w:val="clear" w:color="auto" w:fill="FFFFFF"/>
          <w:lang w:val="en-US" w:eastAsia="zh-CN"/>
        </w:rPr>
        <w:t>高盐废水、热电锅炉过程控制仪表</w:t>
      </w:r>
      <w:r>
        <w:rPr>
          <w:rFonts w:hint="eastAsia" w:asciiTheme="minorEastAsia" w:hAnsiTheme="minorEastAsia" w:eastAsiaTheme="minorEastAsia" w:cstheme="minorEastAsia"/>
          <w:i w:val="0"/>
          <w:iCs w:val="0"/>
          <w:caps w:val="0"/>
          <w:color w:val="000000"/>
          <w:spacing w:val="0"/>
          <w:sz w:val="24"/>
          <w:szCs w:val="24"/>
          <w:shd w:val="clear" w:color="auto" w:fill="FFFFFF"/>
        </w:rPr>
        <w:t>在线监测设备</w:t>
      </w:r>
      <w:r>
        <w:rPr>
          <w:rFonts w:hint="eastAsia" w:asciiTheme="minorEastAsia" w:hAnsiTheme="minorEastAsia" w:eastAsiaTheme="minorEastAsia" w:cstheme="minorEastAsia"/>
          <w:color w:val="000000"/>
          <w:sz w:val="24"/>
          <w:szCs w:val="24"/>
        </w:rPr>
        <w:t>运维服务</w:t>
      </w:r>
      <w:r>
        <w:rPr>
          <w:rFonts w:hint="eastAsia" w:asciiTheme="minorEastAsia" w:hAnsiTheme="minorEastAsia" w:eastAsiaTheme="minorEastAsia" w:cstheme="minorEastAsia"/>
          <w:color w:val="000000"/>
          <w:sz w:val="24"/>
          <w:szCs w:val="24"/>
          <w:lang w:eastAsia="zh-CN"/>
        </w:rPr>
        <w:t>，</w:t>
      </w:r>
      <w:r>
        <w:rPr>
          <w:rFonts w:hint="eastAsia" w:asciiTheme="minorEastAsia" w:hAnsiTheme="minorEastAsia" w:eastAsiaTheme="minorEastAsia" w:cstheme="minorEastAsia"/>
          <w:sz w:val="24"/>
          <w:szCs w:val="24"/>
        </w:rPr>
        <w:t>根据业务需要，乙方需定期组织运维人员下场包含但不限于仪表巡检、校准、损耗件更换及故障处理等工作，确保在线监测系统稳定可靠运行，数据传输准确可靠，投标人在得到招标人通知后必须要</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小时内响应，一般故障12小时内修复；对不易诊断或维修的仪器故障，72小时内修复。</w:t>
      </w:r>
      <w:r>
        <w:rPr>
          <w:rFonts w:hint="eastAsia" w:asciiTheme="minorEastAsia" w:hAnsiTheme="minorEastAsia" w:eastAsiaTheme="minorEastAsia" w:cstheme="minorEastAsia"/>
          <w:sz w:val="24"/>
          <w:szCs w:val="24"/>
          <w:lang w:val="en-US" w:eastAsia="zh-CN"/>
        </w:rPr>
        <w:t>对于废水</w:t>
      </w:r>
      <w:r>
        <w:rPr>
          <w:rFonts w:hint="eastAsia" w:asciiTheme="minorEastAsia" w:hAnsiTheme="minorEastAsia" w:eastAsiaTheme="minorEastAsia" w:cstheme="minorEastAsia"/>
          <w:sz w:val="24"/>
          <w:szCs w:val="24"/>
        </w:rPr>
        <w:t>在线监测设备故障超过3天的，中标方需提供备用设备，确保招标方在线自动监测设备数据传输</w:t>
      </w:r>
      <w:r>
        <w:rPr>
          <w:rFonts w:hint="eastAsia" w:asciiTheme="minorEastAsia" w:hAnsiTheme="minorEastAsia" w:eastAsiaTheme="minorEastAsia" w:cstheme="minorEastAsia"/>
          <w:sz w:val="24"/>
          <w:szCs w:val="24"/>
          <w:lang w:eastAsia="zh-CN"/>
        </w:rPr>
        <w:t>。</w:t>
      </w:r>
    </w:p>
    <w:p w14:paraId="778438A4">
      <w:pPr>
        <w:adjustRightInd w:val="0"/>
        <w:snapToGrid w:val="0"/>
        <w:spacing w:line="240" w:lineRule="auto"/>
        <w:ind w:firstLine="480" w:firstLineChars="200"/>
        <w:rPr>
          <w:rFonts w:hint="eastAsia" w:asciiTheme="minorEastAsia" w:hAnsiTheme="minorEastAsia" w:eastAsiaTheme="minorEastAsia" w:cstheme="minorEastAsia"/>
          <w:sz w:val="24"/>
          <w:szCs w:val="24"/>
          <w:lang w:eastAsia="zh-CN"/>
        </w:rPr>
      </w:pPr>
    </w:p>
    <w:p w14:paraId="57018238">
      <w:pPr>
        <w:adjustRightInd w:val="0"/>
        <w:snapToGrid w:val="0"/>
        <w:spacing w:line="240" w:lineRule="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二、运维维护依据</w:t>
      </w:r>
    </w:p>
    <w:p w14:paraId="2B1FD818">
      <w:pPr>
        <w:adjustRightInd w:val="0"/>
        <w:snapToGrid w:val="0"/>
        <w:spacing w:line="24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《污染源自动监控设施运行管理办法》(国家环保部环发(2008)第6号)；</w:t>
      </w:r>
    </w:p>
    <w:p w14:paraId="3A4F55FF">
      <w:pPr>
        <w:adjustRightInd w:val="0"/>
        <w:snapToGrid w:val="0"/>
        <w:spacing w:line="24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《污染源在线自动监控(监测)系统数据传输标准》(HJ/T 212-2005)；</w:t>
      </w:r>
    </w:p>
    <w:p w14:paraId="4FB2B344">
      <w:pPr>
        <w:adjustRightInd w:val="0"/>
        <w:snapToGrid w:val="0"/>
        <w:spacing w:line="24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《环境污染源自动监控信息传输、交换技术规范(试行)》(HJ/T352-2007)；</w:t>
      </w:r>
    </w:p>
    <w:p w14:paraId="0E738C9B">
      <w:pPr>
        <w:adjustRightInd w:val="0"/>
        <w:snapToGrid w:val="0"/>
        <w:spacing w:line="24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《固定污染源烟气排放连续监测技术规范(试行)》；</w:t>
      </w:r>
    </w:p>
    <w:p w14:paraId="695DD45E">
      <w:pPr>
        <w:adjustRightInd w:val="0"/>
        <w:snapToGrid w:val="0"/>
        <w:spacing w:line="240" w:lineRule="auto"/>
        <w:ind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《水污染源在线监测系统（CODcr、NH3-N等）运行技术规范》（HJ 355-2019）</w:t>
      </w:r>
      <w:r>
        <w:rPr>
          <w:rFonts w:hint="eastAsia" w:asciiTheme="minorEastAsia" w:hAnsiTheme="minorEastAsia" w:eastAsiaTheme="minorEastAsia" w:cstheme="minorEastAsia"/>
          <w:sz w:val="24"/>
          <w:szCs w:val="24"/>
          <w:lang w:eastAsia="zh-CN"/>
        </w:rPr>
        <w:t>；</w:t>
      </w:r>
    </w:p>
    <w:p w14:paraId="613078E2">
      <w:pPr>
        <w:adjustRightInd w:val="0"/>
        <w:snapToGrid w:val="0"/>
        <w:spacing w:line="24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《国家重点监控企业污染源自动监测数据有效性审核办法》</w:t>
      </w:r>
    </w:p>
    <w:p w14:paraId="69D5EDD2">
      <w:pPr>
        <w:adjustRightInd w:val="0"/>
        <w:snapToGrid w:val="0"/>
        <w:spacing w:line="24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《国家重点监控企业污染源自动监测设备考核规程》</w:t>
      </w:r>
    </w:p>
    <w:p w14:paraId="2DDC6D70">
      <w:pPr>
        <w:adjustRightInd w:val="0"/>
        <w:snapToGrid w:val="0"/>
        <w:spacing w:line="24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《污染源自动监控设施现场监督检查办法》</w:t>
      </w:r>
    </w:p>
    <w:p w14:paraId="50EBD5D4">
      <w:pPr>
        <w:adjustRightInd w:val="0"/>
        <w:snapToGrid w:val="0"/>
        <w:spacing w:line="24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“十二五”主要污染物总量减排考核办法</w:t>
      </w:r>
    </w:p>
    <w:p w14:paraId="5C48B9F1">
      <w:pPr>
        <w:adjustRightInd w:val="0"/>
        <w:snapToGrid w:val="0"/>
        <w:spacing w:line="24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“十二五”主要污染物总量减排统计和监测办法</w:t>
      </w:r>
    </w:p>
    <w:p w14:paraId="1E9DAC43">
      <w:pPr>
        <w:adjustRightInd w:val="0"/>
        <w:snapToGrid w:val="0"/>
        <w:spacing w:line="240" w:lineRule="auto"/>
        <w:ind w:firstLine="480" w:firstLineChars="200"/>
        <w:rPr>
          <w:rFonts w:hint="eastAsia" w:asciiTheme="minorEastAsia" w:hAnsiTheme="minorEastAsia" w:eastAsiaTheme="minorEastAsia" w:cstheme="minorEastAsia"/>
          <w:sz w:val="24"/>
          <w:szCs w:val="24"/>
        </w:rPr>
      </w:pPr>
    </w:p>
    <w:p w14:paraId="49060B81">
      <w:pPr>
        <w:adjustRightInd w:val="0"/>
        <w:snapToGrid w:val="0"/>
        <w:spacing w:line="240" w:lineRule="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三、运维设备说明</w:t>
      </w:r>
    </w:p>
    <w:p w14:paraId="170AA88C">
      <w:pPr>
        <w:adjustRightInd w:val="0"/>
        <w:snapToGrid w:val="0"/>
        <w:spacing w:line="24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具体配置见下表</w:t>
      </w:r>
    </w:p>
    <w:tbl>
      <w:tblPr>
        <w:tblStyle w:val="3"/>
        <w:tblW w:w="8603"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6"/>
        <w:gridCol w:w="1218"/>
        <w:gridCol w:w="1446"/>
        <w:gridCol w:w="1682"/>
        <w:gridCol w:w="2342"/>
        <w:gridCol w:w="1219"/>
      </w:tblGrid>
      <w:tr w14:paraId="73807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tcBorders>
              <w:top w:val="single" w:color="auto" w:sz="4" w:space="0"/>
              <w:left w:val="single" w:color="auto" w:sz="4" w:space="0"/>
              <w:bottom w:val="single" w:color="auto" w:sz="4" w:space="0"/>
              <w:right w:val="single" w:color="000000" w:sz="4" w:space="0"/>
            </w:tcBorders>
            <w:shd w:val="clear" w:color="auto" w:fill="auto"/>
            <w:vAlign w:val="center"/>
          </w:tcPr>
          <w:p w14:paraId="5D93E7C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序号</w:t>
            </w:r>
          </w:p>
        </w:tc>
        <w:tc>
          <w:tcPr>
            <w:tcW w:w="1218" w:type="dxa"/>
            <w:tcBorders>
              <w:top w:val="single" w:color="auto" w:sz="4" w:space="0"/>
              <w:left w:val="single" w:color="000000" w:sz="4" w:space="0"/>
              <w:bottom w:val="single" w:color="auto" w:sz="4" w:space="0"/>
              <w:right w:val="single" w:color="000000" w:sz="4" w:space="0"/>
            </w:tcBorders>
            <w:shd w:val="clear" w:color="auto" w:fill="auto"/>
            <w:vAlign w:val="center"/>
          </w:tcPr>
          <w:p w14:paraId="0DAF8FD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位置</w:t>
            </w:r>
          </w:p>
        </w:tc>
        <w:tc>
          <w:tcPr>
            <w:tcW w:w="1446" w:type="dxa"/>
            <w:tcBorders>
              <w:top w:val="single" w:color="auto" w:sz="4" w:space="0"/>
              <w:left w:val="single" w:color="000000" w:sz="4" w:space="0"/>
              <w:bottom w:val="single" w:color="auto" w:sz="4" w:space="0"/>
              <w:right w:val="single" w:color="000000" w:sz="4" w:space="0"/>
            </w:tcBorders>
            <w:shd w:val="clear" w:color="auto" w:fill="auto"/>
            <w:vAlign w:val="center"/>
          </w:tcPr>
          <w:p w14:paraId="7D8BB34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仪表名称</w:t>
            </w:r>
          </w:p>
        </w:tc>
        <w:tc>
          <w:tcPr>
            <w:tcW w:w="1682" w:type="dxa"/>
            <w:tcBorders>
              <w:top w:val="single" w:color="auto" w:sz="4" w:space="0"/>
              <w:left w:val="single" w:color="000000" w:sz="4" w:space="0"/>
              <w:bottom w:val="single" w:color="auto" w:sz="4" w:space="0"/>
              <w:right w:val="single" w:color="000000" w:sz="4" w:space="0"/>
            </w:tcBorders>
            <w:shd w:val="clear" w:color="auto" w:fill="auto"/>
            <w:vAlign w:val="center"/>
          </w:tcPr>
          <w:p w14:paraId="357779E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仪表位号</w:t>
            </w:r>
          </w:p>
        </w:tc>
        <w:tc>
          <w:tcPr>
            <w:tcW w:w="2342" w:type="dxa"/>
            <w:tcBorders>
              <w:top w:val="single" w:color="auto" w:sz="4" w:space="0"/>
              <w:left w:val="single" w:color="000000" w:sz="4" w:space="0"/>
              <w:bottom w:val="single" w:color="auto" w:sz="4" w:space="0"/>
              <w:right w:val="single" w:color="000000" w:sz="4" w:space="0"/>
            </w:tcBorders>
            <w:shd w:val="clear" w:color="auto" w:fill="auto"/>
            <w:vAlign w:val="center"/>
          </w:tcPr>
          <w:p w14:paraId="736A9FD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变送器型号</w:t>
            </w:r>
          </w:p>
        </w:tc>
        <w:tc>
          <w:tcPr>
            <w:tcW w:w="1219" w:type="dxa"/>
            <w:tcBorders>
              <w:top w:val="single" w:color="auto" w:sz="4" w:space="0"/>
              <w:left w:val="single" w:color="000000" w:sz="4" w:space="0"/>
              <w:bottom w:val="single" w:color="auto" w:sz="4" w:space="0"/>
              <w:right w:val="single" w:color="auto" w:sz="4" w:space="0"/>
            </w:tcBorders>
            <w:shd w:val="clear" w:color="auto" w:fill="auto"/>
            <w:vAlign w:val="center"/>
          </w:tcPr>
          <w:p w14:paraId="58350A8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制造商</w:t>
            </w:r>
          </w:p>
        </w:tc>
      </w:tr>
      <w:tr w14:paraId="5D283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tcBorders>
              <w:top w:val="single" w:color="auto" w:sz="4" w:space="0"/>
              <w:left w:val="single" w:color="000000" w:sz="4" w:space="0"/>
              <w:bottom w:val="single" w:color="000000" w:sz="4" w:space="0"/>
              <w:right w:val="single" w:color="000000" w:sz="4" w:space="0"/>
            </w:tcBorders>
            <w:shd w:val="clear" w:color="auto" w:fill="auto"/>
            <w:vAlign w:val="center"/>
          </w:tcPr>
          <w:p w14:paraId="45259E6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1218" w:type="dxa"/>
            <w:tcBorders>
              <w:top w:val="single" w:color="auto" w:sz="4" w:space="0"/>
              <w:left w:val="single" w:color="000000" w:sz="4" w:space="0"/>
              <w:bottom w:val="single" w:color="000000" w:sz="4" w:space="0"/>
              <w:right w:val="single" w:color="000000" w:sz="4" w:space="0"/>
            </w:tcBorders>
            <w:shd w:val="clear" w:color="auto" w:fill="auto"/>
            <w:vAlign w:val="center"/>
          </w:tcPr>
          <w:p w14:paraId="19F3BD0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高盐废水</w:t>
            </w:r>
          </w:p>
        </w:tc>
        <w:tc>
          <w:tcPr>
            <w:tcW w:w="1446" w:type="dxa"/>
            <w:tcBorders>
              <w:top w:val="single" w:color="auto" w:sz="4" w:space="0"/>
              <w:left w:val="single" w:color="000000" w:sz="4" w:space="0"/>
              <w:bottom w:val="single" w:color="000000" w:sz="4" w:space="0"/>
              <w:right w:val="single" w:color="000000" w:sz="4" w:space="0"/>
            </w:tcBorders>
            <w:shd w:val="clear" w:color="auto" w:fill="auto"/>
            <w:vAlign w:val="center"/>
          </w:tcPr>
          <w:p w14:paraId="1180B05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水中油</w:t>
            </w:r>
          </w:p>
        </w:tc>
        <w:tc>
          <w:tcPr>
            <w:tcW w:w="1682" w:type="dxa"/>
            <w:tcBorders>
              <w:top w:val="single" w:color="auto" w:sz="4" w:space="0"/>
              <w:left w:val="single" w:color="000000" w:sz="4" w:space="0"/>
              <w:bottom w:val="single" w:color="000000" w:sz="4" w:space="0"/>
              <w:right w:val="single" w:color="000000" w:sz="4" w:space="0"/>
            </w:tcBorders>
            <w:shd w:val="clear" w:color="auto" w:fill="auto"/>
            <w:vAlign w:val="center"/>
          </w:tcPr>
          <w:p w14:paraId="515FE8F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22AI_207</w:t>
            </w:r>
          </w:p>
        </w:tc>
        <w:tc>
          <w:tcPr>
            <w:tcW w:w="2342" w:type="dxa"/>
            <w:tcBorders>
              <w:top w:val="single" w:color="auto" w:sz="4" w:space="0"/>
              <w:left w:val="single" w:color="000000" w:sz="4" w:space="0"/>
              <w:bottom w:val="single" w:color="000000" w:sz="4" w:space="0"/>
              <w:right w:val="single" w:color="000000" w:sz="4" w:space="0"/>
            </w:tcBorders>
            <w:shd w:val="clear" w:color="auto" w:fill="auto"/>
            <w:vAlign w:val="center"/>
          </w:tcPr>
          <w:p w14:paraId="74B2BBD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AP8XXXK+TSOIL510</w:t>
            </w:r>
          </w:p>
        </w:tc>
        <w:tc>
          <w:tcPr>
            <w:tcW w:w="1219" w:type="dxa"/>
            <w:tcBorders>
              <w:top w:val="single" w:color="auto" w:sz="4" w:space="0"/>
              <w:left w:val="single" w:color="000000" w:sz="4" w:space="0"/>
              <w:bottom w:val="single" w:color="000000" w:sz="4" w:space="0"/>
              <w:right w:val="single" w:color="000000" w:sz="4" w:space="0"/>
            </w:tcBorders>
            <w:shd w:val="clear" w:color="auto" w:fill="auto"/>
            <w:vAlign w:val="center"/>
          </w:tcPr>
          <w:p w14:paraId="750E68E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赛默飞</w:t>
            </w:r>
          </w:p>
        </w:tc>
      </w:tr>
      <w:tr w14:paraId="3C921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AAE5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2C4F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高盐废水</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B3BF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悬浮物</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222C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22AI_208</w:t>
            </w: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9994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ViSolid® 700 IQSW</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9742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WTW</w:t>
            </w:r>
          </w:p>
        </w:tc>
      </w:tr>
      <w:tr w14:paraId="07293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0225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3</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2BC8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高盐废水</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38DF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总磷在线监测仪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091D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22AI_205</w:t>
            </w: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3893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3150TPNW</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AB79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赛默飞</w:t>
            </w:r>
          </w:p>
        </w:tc>
      </w:tr>
      <w:tr w14:paraId="037A8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9217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4</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25F2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高盐废水</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217E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总氮在线监测仪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2786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22AI_206</w:t>
            </w: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562F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3150TPNW</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F30C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赛默飞</w:t>
            </w:r>
          </w:p>
        </w:tc>
      </w:tr>
      <w:tr w14:paraId="487C1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D48D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5</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5284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高盐废水</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C686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Style w:val="8"/>
                <w:rFonts w:hint="eastAsia" w:asciiTheme="minorEastAsia" w:hAnsiTheme="minorEastAsia" w:eastAsiaTheme="minorEastAsia" w:cstheme="minorEastAsia"/>
                <w:lang w:val="en-US" w:eastAsia="zh-CN" w:bidi="ar"/>
              </w:rPr>
              <w:t>COD</w:t>
            </w:r>
            <w:r>
              <w:rPr>
                <w:rStyle w:val="9"/>
                <w:rFonts w:hint="eastAsia" w:asciiTheme="minorEastAsia" w:hAnsiTheme="minorEastAsia" w:eastAsiaTheme="minorEastAsia" w:cstheme="minorEastAsia"/>
                <w:lang w:val="en-US" w:eastAsia="zh-CN" w:bidi="ar"/>
              </w:rPr>
              <w:t>Cr</w:t>
            </w:r>
            <w:r>
              <w:rPr>
                <w:rStyle w:val="8"/>
                <w:rFonts w:hint="eastAsia" w:asciiTheme="minorEastAsia" w:hAnsiTheme="minorEastAsia" w:eastAsiaTheme="minorEastAsia" w:cstheme="minorEastAsia"/>
                <w:lang w:val="en-US" w:eastAsia="zh-CN" w:bidi="ar"/>
              </w:rPr>
              <w:t>在线监测仪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2C1B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22AI_201</w:t>
            </w: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0179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TOC-4200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2317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岛津</w:t>
            </w:r>
          </w:p>
        </w:tc>
      </w:tr>
      <w:tr w14:paraId="3D957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24E4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6</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F76F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高盐废水</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3AA1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氨氮在线监测仪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6E90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22AI_201</w:t>
            </w: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52FF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NHN-4210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867C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岛津</w:t>
            </w:r>
          </w:p>
        </w:tc>
      </w:tr>
      <w:tr w14:paraId="05844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902A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7</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5BC3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高盐废水进中水小屋管路</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5ED3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管道式电磁流量计</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22DE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22FIQ_204</w:t>
            </w:r>
          </w:p>
        </w:tc>
        <w:tc>
          <w:tcPr>
            <w:tcW w:w="23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70E1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KEFA</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BB6F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上海肯特</w:t>
            </w:r>
          </w:p>
        </w:tc>
      </w:tr>
      <w:tr w14:paraId="207C5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2587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8</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5BA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高盐废水</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0F62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高盐废水工业PH在线分析仪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1E3C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21AI_10_PH</w:t>
            </w: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7347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UNI-20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D47C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普贝斯</w:t>
            </w:r>
          </w:p>
        </w:tc>
      </w:tr>
      <w:tr w14:paraId="0EBE6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01D6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9</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265C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高盐废水</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191A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数据采集传输仪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EFFC4">
            <w:pPr>
              <w:spacing w:line="240" w:lineRule="auto"/>
              <w:jc w:val="center"/>
              <w:rPr>
                <w:rFonts w:hint="eastAsia" w:asciiTheme="minorEastAsia" w:hAnsiTheme="minorEastAsia" w:eastAsiaTheme="minorEastAsia" w:cstheme="minorEastAsia"/>
                <w:i w:val="0"/>
                <w:iCs w:val="0"/>
                <w:color w:val="000000"/>
                <w:sz w:val="22"/>
                <w:szCs w:val="22"/>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F7AB8">
            <w:pPr>
              <w:spacing w:line="240" w:lineRule="auto"/>
              <w:jc w:val="center"/>
              <w:rPr>
                <w:rFonts w:hint="eastAsia" w:asciiTheme="minorEastAsia" w:hAnsiTheme="minorEastAsia" w:eastAsiaTheme="minorEastAsia" w:cstheme="minorEastAsia"/>
                <w:i w:val="0"/>
                <w:iCs w:val="0"/>
                <w:color w:val="000000"/>
                <w:sz w:val="22"/>
                <w:szCs w:val="22"/>
                <w:u w:val="none"/>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C8FB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万维</w:t>
            </w:r>
          </w:p>
        </w:tc>
      </w:tr>
      <w:tr w14:paraId="575AA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85EF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10</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6857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高盐废水</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4A5C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水质自动采样器</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43AC8">
            <w:pPr>
              <w:spacing w:line="240" w:lineRule="auto"/>
              <w:jc w:val="center"/>
              <w:rPr>
                <w:rFonts w:hint="eastAsia" w:asciiTheme="minorEastAsia" w:hAnsiTheme="minorEastAsia" w:eastAsiaTheme="minorEastAsia" w:cstheme="minorEastAsia"/>
                <w:i w:val="0"/>
                <w:iCs w:val="0"/>
                <w:color w:val="000000"/>
                <w:sz w:val="22"/>
                <w:szCs w:val="22"/>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20C29">
            <w:pPr>
              <w:spacing w:line="240" w:lineRule="auto"/>
              <w:jc w:val="center"/>
              <w:rPr>
                <w:rFonts w:hint="eastAsia" w:asciiTheme="minorEastAsia" w:hAnsiTheme="minorEastAsia" w:eastAsiaTheme="minorEastAsia" w:cstheme="minorEastAsia"/>
                <w:i w:val="0"/>
                <w:iCs w:val="0"/>
                <w:color w:val="000000"/>
                <w:sz w:val="22"/>
                <w:szCs w:val="22"/>
                <w:u w:val="none"/>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2EF8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SDL</w:t>
            </w:r>
          </w:p>
        </w:tc>
      </w:tr>
      <w:tr w14:paraId="77B5C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CE77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11</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414B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中水外排浓水箱</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F5BC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Style w:val="8"/>
                <w:rFonts w:hint="eastAsia" w:asciiTheme="minorEastAsia" w:hAnsiTheme="minorEastAsia" w:eastAsiaTheme="minorEastAsia" w:cstheme="minorEastAsia"/>
                <w:lang w:val="en-US" w:eastAsia="zh-CN" w:bidi="ar"/>
              </w:rPr>
              <w:t>COD</w:t>
            </w:r>
            <w:r>
              <w:rPr>
                <w:rStyle w:val="9"/>
                <w:rFonts w:hint="eastAsia" w:asciiTheme="minorEastAsia" w:hAnsiTheme="minorEastAsia" w:eastAsiaTheme="minorEastAsia" w:cstheme="minorEastAsia"/>
                <w:lang w:val="en-US" w:eastAsia="zh-CN" w:bidi="ar"/>
              </w:rPr>
              <w:t>Cr</w:t>
            </w:r>
            <w:r>
              <w:rPr>
                <w:rStyle w:val="8"/>
                <w:rFonts w:hint="eastAsia" w:asciiTheme="minorEastAsia" w:hAnsiTheme="minorEastAsia" w:eastAsiaTheme="minorEastAsia" w:cstheme="minorEastAsia"/>
                <w:lang w:val="en-US" w:eastAsia="zh-CN" w:bidi="ar"/>
              </w:rPr>
              <w:t>在线监测仪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D785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21AI_06_COD</w:t>
            </w: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2580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Model 9810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21BC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SDL</w:t>
            </w:r>
          </w:p>
        </w:tc>
      </w:tr>
      <w:tr w14:paraId="63B09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F0B0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12</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E125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中水外排浓水箱</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581F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氨氮在线监测仪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BD2D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21AI_07_NH</w:t>
            </w: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C49B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Model 9820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5DED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SDL</w:t>
            </w:r>
          </w:p>
        </w:tc>
      </w:tr>
      <w:tr w14:paraId="594F2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F907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13</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C4E3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中水外排浓水箱</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9C8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总磷在线监测仪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2034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21AI_08_TP</w:t>
            </w: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34ED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Model 9840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1DA8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SDL</w:t>
            </w:r>
          </w:p>
        </w:tc>
      </w:tr>
      <w:tr w14:paraId="6C45D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9D8F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14</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FF2C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中水外排浓水箱</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271F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总氮在线监测仪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FFD0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21AI_09_TN</w:t>
            </w: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E74A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Model 9850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CBD5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SDL</w:t>
            </w:r>
          </w:p>
        </w:tc>
      </w:tr>
      <w:tr w14:paraId="5C62F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1DCC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15</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ADB6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中水外排泵出口</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1EF0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管道式电磁流量计</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2A44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22FIQ_204</w:t>
            </w: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BAAB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FEW010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8BBE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ABB</w:t>
            </w:r>
          </w:p>
        </w:tc>
      </w:tr>
      <w:tr w14:paraId="34569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FAB0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16</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82AF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中水外排泵出口</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1289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中水废水PH在线分析仪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A729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21AI_10_PH</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BE0B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UNI-20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7BCE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普贝斯</w:t>
            </w:r>
          </w:p>
        </w:tc>
      </w:tr>
      <w:tr w14:paraId="396CC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3BC0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17</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99B6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中水外排</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9A21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水质自动采样器</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5FC1C">
            <w:pPr>
              <w:spacing w:line="240" w:lineRule="auto"/>
              <w:jc w:val="center"/>
              <w:rPr>
                <w:rFonts w:hint="eastAsia" w:asciiTheme="minorEastAsia" w:hAnsiTheme="minorEastAsia" w:eastAsiaTheme="minorEastAsia" w:cstheme="minorEastAsia"/>
                <w:i w:val="0"/>
                <w:iCs w:val="0"/>
                <w:color w:val="000000"/>
                <w:sz w:val="22"/>
                <w:szCs w:val="22"/>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ACF4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Model 9870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48CD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SDL</w:t>
            </w:r>
          </w:p>
        </w:tc>
      </w:tr>
      <w:tr w14:paraId="4659A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4BBE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18</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CE36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中水外排</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385F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数据采集传输仪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DD3D8">
            <w:pPr>
              <w:spacing w:line="240" w:lineRule="auto"/>
              <w:jc w:val="center"/>
              <w:rPr>
                <w:rFonts w:hint="eastAsia" w:asciiTheme="minorEastAsia" w:hAnsiTheme="minorEastAsia" w:eastAsiaTheme="minorEastAsia" w:cstheme="minorEastAsia"/>
                <w:i w:val="0"/>
                <w:iCs w:val="0"/>
                <w:color w:val="000000"/>
                <w:sz w:val="22"/>
                <w:szCs w:val="22"/>
                <w:u w:val="none"/>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1D78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SDL 4001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04B2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万维</w:t>
            </w:r>
          </w:p>
        </w:tc>
      </w:tr>
      <w:tr w14:paraId="6B48A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858C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19</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AA4F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脱硫</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5B95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#1颗粒物分析仪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747D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RD_TL01DUST</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880A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SBF800</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C8695">
            <w:pPr>
              <w:keepNext w:val="0"/>
              <w:keepLines w:val="0"/>
              <w:widowControl/>
              <w:suppressLineNumbers w:val="0"/>
              <w:spacing w:line="240" w:lineRule="auto"/>
              <w:jc w:val="center"/>
              <w:textAlignment w:val="center"/>
              <w:rPr>
                <w:rFonts w:hint="default" w:asciiTheme="minorEastAsia" w:hAnsiTheme="minorEastAsia" w:eastAsiaTheme="minorEastAsia" w:cstheme="minorEastAsia"/>
                <w:i w:val="0"/>
                <w:iCs w:val="0"/>
                <w:color w:val="000000"/>
                <w:sz w:val="22"/>
                <w:szCs w:val="22"/>
                <w:u w:val="none"/>
                <w:lang w:val="en-US" w:eastAsia="zh-CN"/>
              </w:rPr>
            </w:pPr>
            <w:r>
              <w:rPr>
                <w:rFonts w:hint="eastAsia" w:asciiTheme="minorEastAsia" w:hAnsiTheme="minorEastAsia" w:eastAsiaTheme="minorEastAsia" w:cstheme="minorEastAsia"/>
                <w:i w:val="0"/>
                <w:iCs w:val="0"/>
                <w:color w:val="000000"/>
                <w:sz w:val="22"/>
                <w:szCs w:val="22"/>
                <w:u w:val="none"/>
                <w:lang w:val="en-US" w:eastAsia="zh-CN"/>
              </w:rPr>
              <w:t>上海北分</w:t>
            </w:r>
          </w:p>
        </w:tc>
      </w:tr>
      <w:tr w14:paraId="17E36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27D0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F830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脱硫</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03BA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#1二氧化硫分析仪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1D67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RD_TL01SO2_C</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69CF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ULTRAMAT23</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B3FA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北京雪迪龙</w:t>
            </w:r>
          </w:p>
        </w:tc>
      </w:tr>
      <w:tr w14:paraId="5FEC8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B37B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21</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BF33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脱硫</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4171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#1氮氧化物分析仪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2CAE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RD_TL01NO</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B9CB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ULTRAMAT23</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5C47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北京雪迪龙</w:t>
            </w:r>
          </w:p>
        </w:tc>
      </w:tr>
      <w:tr w14:paraId="17253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EFAC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22</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7313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脱硫</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E519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#1氧量分析仪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195F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RD_TL01O2_PV</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8BAD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ULTRAMAT23</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AF68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北京雪迪龙</w:t>
            </w:r>
          </w:p>
        </w:tc>
      </w:tr>
      <w:tr w14:paraId="79973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B23E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23</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AA75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脱硫</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C5B1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#1烟气流速</w:t>
            </w:r>
          </w:p>
        </w:tc>
        <w:tc>
          <w:tcPr>
            <w:tcW w:w="1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0F2F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RD_TL01F_PV</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1A59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7MF4433-1DA02-2AB6-Z</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E410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SIEMENS</w:t>
            </w:r>
          </w:p>
        </w:tc>
      </w:tr>
      <w:tr w14:paraId="319A0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7B06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24</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7DE9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脱硫</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6539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#1烟气温度</w:t>
            </w:r>
          </w:p>
        </w:tc>
        <w:tc>
          <w:tcPr>
            <w:tcW w:w="1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29D5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RD_TL01TEMP</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7BCD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PT100</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077E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SIEMENS</w:t>
            </w:r>
          </w:p>
        </w:tc>
      </w:tr>
      <w:tr w14:paraId="28EFB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B23C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25</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D010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脱硫</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85E5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#1含湿量</w:t>
            </w:r>
          </w:p>
        </w:tc>
        <w:tc>
          <w:tcPr>
            <w:tcW w:w="1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059B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RD_TL01H2O</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5BD9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MODEL2061</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CDA6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SIEMENS</w:t>
            </w:r>
          </w:p>
        </w:tc>
      </w:tr>
      <w:tr w14:paraId="1D74C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CCE0541">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7325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脱硫</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7C82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数据采集传输仪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A73A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3BF72">
            <w:pPr>
              <w:keepNext w:val="0"/>
              <w:keepLines w:val="0"/>
              <w:widowControl/>
              <w:suppressLineNumbers w:val="0"/>
              <w:spacing w:line="240" w:lineRule="auto"/>
              <w:jc w:val="center"/>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W5100HB-Ⅲ型</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800B1">
            <w:pPr>
              <w:keepNext w:val="0"/>
              <w:keepLines w:val="0"/>
              <w:widowControl/>
              <w:suppressLineNumbers w:val="0"/>
              <w:spacing w:line="240" w:lineRule="auto"/>
              <w:jc w:val="center"/>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万维盈创</w:t>
            </w:r>
          </w:p>
        </w:tc>
      </w:tr>
      <w:tr w14:paraId="6D75A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BF7163E">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1C5B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脱硫</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0133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#2颗粒物分析仪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C616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RD_TL02DUST</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4111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Synspec PM</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BC73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lang w:val="en-US" w:eastAsia="zh-CN"/>
              </w:rPr>
            </w:pPr>
            <w:r>
              <w:rPr>
                <w:rFonts w:hint="eastAsia" w:asciiTheme="minorEastAsia" w:hAnsiTheme="minorEastAsia" w:eastAsiaTheme="minorEastAsia" w:cstheme="minorEastAsia"/>
                <w:i w:val="0"/>
                <w:iCs w:val="0"/>
                <w:color w:val="000000"/>
                <w:sz w:val="22"/>
                <w:szCs w:val="22"/>
                <w:u w:val="none"/>
                <w:lang w:val="en-US" w:eastAsia="zh-CN"/>
              </w:rPr>
              <w:t>聚光</w:t>
            </w:r>
          </w:p>
        </w:tc>
      </w:tr>
      <w:tr w14:paraId="3F594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7E68DEE">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5F23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脱硫</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7058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#2二氧化硫分析仪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2B88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RD_TL02SO0</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8C73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ULTRAMAT23</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38A9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北京雪迪龙</w:t>
            </w:r>
          </w:p>
        </w:tc>
      </w:tr>
      <w:tr w14:paraId="16B64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0E7F1E">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C4ED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脱硫</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C4BE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#2氮氧化物分析仪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A3DA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RD_TL02NO</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4D9E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ULTRAMAT23</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8DC4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北京雪迪龙</w:t>
            </w:r>
          </w:p>
        </w:tc>
      </w:tr>
      <w:tr w14:paraId="59FCA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95DA3F0">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0E12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脱硫</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116A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#2氧量分析仪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413F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RD_TL02O2_PV</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29BC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ULTRAMAT23</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29EA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北京雪迪龙</w:t>
            </w:r>
          </w:p>
        </w:tc>
      </w:tr>
      <w:tr w14:paraId="305A2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AF6801">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6086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脱硫</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A660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#2烟气流速</w:t>
            </w:r>
          </w:p>
        </w:tc>
        <w:tc>
          <w:tcPr>
            <w:tcW w:w="1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ED9F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RD_TL02F</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E0F2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7MF4433-1DA02-2AB6-Z</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CA4C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SIEMENS</w:t>
            </w:r>
          </w:p>
        </w:tc>
      </w:tr>
      <w:tr w14:paraId="430C9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9D1429">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AEF3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脱硫</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F34A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#2烟气温度</w:t>
            </w:r>
          </w:p>
        </w:tc>
        <w:tc>
          <w:tcPr>
            <w:tcW w:w="1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50D2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RD_TL02TEMP</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1578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PT100</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48DE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SIEMENS</w:t>
            </w:r>
          </w:p>
        </w:tc>
      </w:tr>
      <w:tr w14:paraId="660A1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AD1B2F">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4FC5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脱硫</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9DD8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#2含湿量</w:t>
            </w:r>
          </w:p>
        </w:tc>
        <w:tc>
          <w:tcPr>
            <w:tcW w:w="1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7381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RD_TL02H2O</w:t>
            </w: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F0A0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MODEL2061</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570C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SIEMENS</w:t>
            </w:r>
          </w:p>
        </w:tc>
      </w:tr>
      <w:tr w14:paraId="09D9F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37DCB40">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34</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ECDA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脱硫</w:t>
            </w: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CF83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数据采集传输仪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5115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p>
        </w:tc>
        <w:tc>
          <w:tcPr>
            <w:tcW w:w="2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0675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W5100HB-Ⅲ型</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AF1F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万维盈创</w:t>
            </w:r>
          </w:p>
        </w:tc>
      </w:tr>
      <w:tr w14:paraId="439F4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77C3D8">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B31DD5">
            <w:pPr>
              <w:keepNext w:val="0"/>
              <w:keepLines w:val="0"/>
              <w:widowControl/>
              <w:suppressLineNumbers w:val="0"/>
              <w:spacing w:line="240" w:lineRule="auto"/>
              <w:jc w:val="center"/>
              <w:textAlignment w:val="bottom"/>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脱硝</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6AC5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1号炉左侧炉膛低过出口氧量分析仪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35D3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AOHBK10CQ102</w:t>
            </w: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B0D7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6888 Xi</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FE28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艾默生</w:t>
            </w:r>
          </w:p>
        </w:tc>
      </w:tr>
      <w:tr w14:paraId="3C051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9FB8C4">
            <w:pPr>
              <w:keepNext w:val="0"/>
              <w:keepLines w:val="0"/>
              <w:widowControl/>
              <w:suppressLineNumbers w:val="0"/>
              <w:jc w:val="right"/>
              <w:textAlignment w:val="bottom"/>
              <w:rPr>
                <w:rFonts w:hint="eastAsia" w:asciiTheme="minorEastAsia" w:hAnsiTheme="minorEastAsia" w:eastAsiaTheme="minorEastAsia" w:cstheme="minorEastAsia"/>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36</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66F956">
            <w:pPr>
              <w:keepNext w:val="0"/>
              <w:keepLines w:val="0"/>
              <w:widowControl/>
              <w:suppressLineNumbers w:val="0"/>
              <w:spacing w:line="240" w:lineRule="auto"/>
              <w:jc w:val="center"/>
              <w:textAlignment w:val="bottom"/>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脱硝</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9423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2号炉左侧炉膛低过出口氧量分析仪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9CB4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BOHBK10CQ102</w:t>
            </w: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BD2A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6888 Xi</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56CF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艾默生</w:t>
            </w:r>
          </w:p>
        </w:tc>
      </w:tr>
      <w:tr w14:paraId="5BB9A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B4F920">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F90352">
            <w:pPr>
              <w:keepNext w:val="0"/>
              <w:keepLines w:val="0"/>
              <w:widowControl/>
              <w:suppressLineNumbers w:val="0"/>
              <w:spacing w:line="240" w:lineRule="auto"/>
              <w:jc w:val="center"/>
              <w:textAlignment w:val="bottom"/>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脱硝</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2094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3号炉左侧炉膛低过出口氧量分析仪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066B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COHBK10CQ102</w:t>
            </w: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A5F1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6888 Xi</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F680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艾默生</w:t>
            </w:r>
          </w:p>
        </w:tc>
      </w:tr>
      <w:tr w14:paraId="5B543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93B2C09">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726B78">
            <w:pPr>
              <w:keepNext w:val="0"/>
              <w:keepLines w:val="0"/>
              <w:widowControl/>
              <w:suppressLineNumbers w:val="0"/>
              <w:spacing w:line="240" w:lineRule="auto"/>
              <w:jc w:val="center"/>
              <w:textAlignment w:val="bottom"/>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脱硝</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17292">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4号炉左侧炉膛低过出口氧量分析仪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8ED6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DOHBK10CQ102</w:t>
            </w: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71BE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6888 Xi</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0965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艾默生</w:t>
            </w:r>
          </w:p>
        </w:tc>
      </w:tr>
      <w:tr w14:paraId="24CD3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36B1B4">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EDDBA9">
            <w:pPr>
              <w:keepNext w:val="0"/>
              <w:keepLines w:val="0"/>
              <w:widowControl/>
              <w:suppressLineNumbers w:val="0"/>
              <w:spacing w:line="240" w:lineRule="auto"/>
              <w:jc w:val="center"/>
              <w:textAlignment w:val="bottom"/>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脱硝</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868E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1号炉右侧炉膛低过出口氧量分析仪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4EE7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COHBK10CQ102</w:t>
            </w: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ACB2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6888 Xi</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82AD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艾默生</w:t>
            </w:r>
          </w:p>
        </w:tc>
      </w:tr>
      <w:tr w14:paraId="35816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CAC7F4">
            <w:pPr>
              <w:keepNext w:val="0"/>
              <w:keepLines w:val="0"/>
              <w:widowControl/>
              <w:suppressLineNumbers w:val="0"/>
              <w:jc w:val="right"/>
              <w:textAlignment w:val="bottom"/>
              <w:rPr>
                <w:rFonts w:hint="eastAsia" w:asciiTheme="minorEastAsia" w:hAnsiTheme="minorEastAsia" w:eastAsiaTheme="minorEastAsia" w:cstheme="minorEastAsia"/>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40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6B2B15">
            <w:pPr>
              <w:keepNext w:val="0"/>
              <w:keepLines w:val="0"/>
              <w:widowControl/>
              <w:suppressLineNumbers w:val="0"/>
              <w:spacing w:line="240" w:lineRule="auto"/>
              <w:jc w:val="center"/>
              <w:textAlignment w:val="bottom"/>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脱硝</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44F5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2号炉右侧炉膛低过出口氧量分析仪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ACBE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DOHBK10CQ102</w:t>
            </w: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C326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6888 Xi</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9990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艾默生</w:t>
            </w:r>
          </w:p>
        </w:tc>
      </w:tr>
      <w:tr w14:paraId="068BC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8CA64FC">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0587BE">
            <w:pPr>
              <w:keepNext w:val="0"/>
              <w:keepLines w:val="0"/>
              <w:widowControl/>
              <w:suppressLineNumbers w:val="0"/>
              <w:spacing w:line="240" w:lineRule="auto"/>
              <w:jc w:val="center"/>
              <w:textAlignment w:val="bottom"/>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脱硝</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03ED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3号炉右侧炉膛低过出口氧量分析仪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F58A6">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AOHBK10CQ101</w:t>
            </w: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1211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6888 Xi</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E629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艾默生</w:t>
            </w:r>
          </w:p>
        </w:tc>
      </w:tr>
      <w:tr w14:paraId="76577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07CB824">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58E8A9F">
            <w:pPr>
              <w:keepNext w:val="0"/>
              <w:keepLines w:val="0"/>
              <w:widowControl/>
              <w:suppressLineNumbers w:val="0"/>
              <w:spacing w:line="240" w:lineRule="auto"/>
              <w:jc w:val="center"/>
              <w:textAlignment w:val="bottom"/>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脱硝</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26DA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4号炉右侧炉膛低过出口氧量分析仪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5BCB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BOHBK10CQ101</w:t>
            </w: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BBF2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6888 Xi</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7D0B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艾默生</w:t>
            </w:r>
          </w:p>
        </w:tc>
      </w:tr>
      <w:tr w14:paraId="0F236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38F8D6">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C138CB0">
            <w:pPr>
              <w:keepNext w:val="0"/>
              <w:keepLines w:val="0"/>
              <w:widowControl/>
              <w:suppressLineNumbers w:val="0"/>
              <w:spacing w:line="240" w:lineRule="auto"/>
              <w:jc w:val="center"/>
              <w:textAlignment w:val="bottom"/>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脱硝</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053A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1#炉氨逃逸分析仪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FC797">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COHBK10CQ101</w:t>
            </w: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365C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Laser Gas II SP NH3</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09C1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NXO</w:t>
            </w:r>
          </w:p>
        </w:tc>
      </w:tr>
      <w:tr w14:paraId="541B2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6305101">
            <w:pPr>
              <w:keepNext w:val="0"/>
              <w:keepLines w:val="0"/>
              <w:widowControl/>
              <w:suppressLineNumbers w:val="0"/>
              <w:jc w:val="right"/>
              <w:textAlignment w:val="bottom"/>
              <w:rPr>
                <w:rFonts w:hint="eastAsia" w:asciiTheme="minorEastAsia" w:hAnsiTheme="minorEastAsia" w:eastAsiaTheme="minorEastAsia" w:cstheme="minorEastAsia"/>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44</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478F00">
            <w:pPr>
              <w:keepNext w:val="0"/>
              <w:keepLines w:val="0"/>
              <w:widowControl/>
              <w:suppressLineNumbers w:val="0"/>
              <w:spacing w:line="240" w:lineRule="auto"/>
              <w:jc w:val="center"/>
              <w:textAlignment w:val="bottom"/>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脱硝</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775F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2#炉氨逃逸分析仪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D8E4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DOHBK10CQ101</w:t>
            </w: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3DE6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Laser Gas II SP NH3</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3469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NXO</w:t>
            </w:r>
          </w:p>
        </w:tc>
      </w:tr>
      <w:tr w14:paraId="5B24F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F6C2DF7">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DD84EB">
            <w:pPr>
              <w:keepNext w:val="0"/>
              <w:keepLines w:val="0"/>
              <w:widowControl/>
              <w:suppressLineNumbers w:val="0"/>
              <w:spacing w:line="240" w:lineRule="auto"/>
              <w:jc w:val="center"/>
              <w:textAlignment w:val="bottom"/>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脱硝</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76BD1">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3#炉氨逃逸分析仪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F7E8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SHJO1AT001</w:t>
            </w: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90A6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Laser Gas II SP NH3</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E892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NXO</w:t>
            </w:r>
          </w:p>
        </w:tc>
      </w:tr>
      <w:tr w14:paraId="52E59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B3FE192">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C34D0E">
            <w:pPr>
              <w:keepNext w:val="0"/>
              <w:keepLines w:val="0"/>
              <w:widowControl/>
              <w:suppressLineNumbers w:val="0"/>
              <w:spacing w:line="240" w:lineRule="auto"/>
              <w:jc w:val="center"/>
              <w:textAlignment w:val="bottom"/>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脱硝</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7C66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4#炉氨逃逸分析仪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866BF">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SHJO2ATO01</w:t>
            </w: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D864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Laser Gas II SP NH3</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A0A2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NXO</w:t>
            </w:r>
          </w:p>
        </w:tc>
      </w:tr>
      <w:tr w14:paraId="30844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85CBD26">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CFE2CA">
            <w:pPr>
              <w:keepNext w:val="0"/>
              <w:keepLines w:val="0"/>
              <w:widowControl/>
              <w:suppressLineNumbers w:val="0"/>
              <w:spacing w:line="240" w:lineRule="auto"/>
              <w:jc w:val="center"/>
              <w:textAlignment w:val="bottom"/>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脱硝</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82C8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1#炉脱硝出口烟气氮氧化物分析仪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D794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SHJO3AT001</w:t>
            </w: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3A95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SCS-900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4726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雪迪龙</w:t>
            </w:r>
          </w:p>
        </w:tc>
      </w:tr>
      <w:tr w14:paraId="5DCE5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B3BE3E">
            <w:pPr>
              <w:keepNext w:val="0"/>
              <w:keepLines w:val="0"/>
              <w:widowControl/>
              <w:suppressLineNumbers w:val="0"/>
              <w:jc w:val="right"/>
              <w:textAlignment w:val="bottom"/>
              <w:rPr>
                <w:rFonts w:hint="eastAsia" w:asciiTheme="minorEastAsia" w:hAnsiTheme="minorEastAsia" w:eastAsiaTheme="minorEastAsia" w:cstheme="minorEastAsia"/>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48</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026D9C5">
            <w:pPr>
              <w:keepNext w:val="0"/>
              <w:keepLines w:val="0"/>
              <w:widowControl/>
              <w:suppressLineNumbers w:val="0"/>
              <w:spacing w:line="240" w:lineRule="auto"/>
              <w:jc w:val="center"/>
              <w:textAlignment w:val="bottom"/>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脱硝</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7A98B">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2#炉脱硝出口烟气氮氧化物分析仪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D382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SHJO4AT001</w:t>
            </w: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2385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SCS-900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A4CD4">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雪迪龙</w:t>
            </w:r>
          </w:p>
        </w:tc>
      </w:tr>
      <w:tr w14:paraId="4B445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B2F289">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193CA5">
            <w:pPr>
              <w:keepNext w:val="0"/>
              <w:keepLines w:val="0"/>
              <w:widowControl/>
              <w:suppressLineNumbers w:val="0"/>
              <w:spacing w:line="240" w:lineRule="auto"/>
              <w:jc w:val="center"/>
              <w:textAlignment w:val="bottom"/>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脱硝</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9142A">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3#炉脱硝出口烟气氮氧化物分析仪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517DE">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10HSA20CQ103</w:t>
            </w: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E1FCD">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SCS-900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7F0F0">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雪迪龙</w:t>
            </w:r>
          </w:p>
        </w:tc>
      </w:tr>
      <w:tr w14:paraId="50AB0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42E5364">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C7C2E75">
            <w:pPr>
              <w:keepNext w:val="0"/>
              <w:keepLines w:val="0"/>
              <w:widowControl/>
              <w:suppressLineNumbers w:val="0"/>
              <w:spacing w:line="240" w:lineRule="auto"/>
              <w:jc w:val="center"/>
              <w:textAlignment w:val="bottom"/>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脱硝</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94FF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4#炉脱硝出口烟气氮氧化物分析仪</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FCA5C">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20HSA20CQ103</w:t>
            </w:r>
          </w:p>
        </w:tc>
        <w:tc>
          <w:tcPr>
            <w:tcW w:w="2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4C439">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SCS-900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5B483">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kern w:val="0"/>
                <w:sz w:val="22"/>
                <w:szCs w:val="22"/>
                <w:u w:val="none"/>
                <w:lang w:val="en-US" w:eastAsia="zh-CN" w:bidi="ar"/>
              </w:rPr>
              <w:t>雪迪龙</w:t>
            </w:r>
          </w:p>
        </w:tc>
      </w:tr>
    </w:tbl>
    <w:p w14:paraId="75E3ACCB">
      <w:pPr>
        <w:adjustRightInd w:val="0"/>
        <w:snapToGrid w:val="0"/>
        <w:spacing w:line="240" w:lineRule="auto"/>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 xml:space="preserve">       </w:t>
      </w:r>
    </w:p>
    <w:p w14:paraId="5CC90190">
      <w:pPr>
        <w:shd w:val="clear" w:color="auto" w:fill="FFFFFF"/>
        <w:adjustRightInd w:val="0"/>
        <w:snapToGrid w:val="0"/>
        <w:ind w:firstLine="562" w:firstLineChars="200"/>
        <w:rPr>
          <w:rFonts w:eastAsiaTheme="minorEastAsia"/>
          <w:kern w:val="0"/>
          <w:sz w:val="28"/>
          <w:szCs w:val="36"/>
        </w:rPr>
      </w:pPr>
      <w:r>
        <w:rPr>
          <w:rFonts w:hint="eastAsia" w:asciiTheme="minorEastAsia" w:hAnsiTheme="minorEastAsia" w:eastAsiaTheme="minorEastAsia" w:cstheme="minorEastAsia"/>
          <w:b/>
          <w:bCs/>
          <w:sz w:val="28"/>
          <w:szCs w:val="28"/>
        </w:rPr>
        <w:t>四、</w:t>
      </w:r>
      <w:r>
        <w:rPr>
          <w:rFonts w:eastAsiaTheme="minorEastAsia"/>
          <w:kern w:val="0"/>
          <w:sz w:val="28"/>
          <w:szCs w:val="36"/>
        </w:rPr>
        <w:t>投标人须具备以下要求</w:t>
      </w:r>
    </w:p>
    <w:p w14:paraId="264DD62B">
      <w:pPr>
        <w:shd w:val="clear" w:color="auto" w:fill="FFFFFF"/>
        <w:adjustRightInd w:val="0"/>
        <w:snapToGrid w:val="0"/>
        <w:ind w:firstLine="560" w:firstLineChars="200"/>
        <w:rPr>
          <w:rFonts w:eastAsiaTheme="minorEastAsia"/>
          <w:kern w:val="0"/>
          <w:sz w:val="28"/>
          <w:szCs w:val="36"/>
        </w:rPr>
      </w:pPr>
      <w:r>
        <w:rPr>
          <w:rFonts w:hint="eastAsia" w:eastAsiaTheme="minorEastAsia"/>
          <w:kern w:val="0"/>
          <w:sz w:val="28"/>
          <w:szCs w:val="36"/>
        </w:rPr>
        <w:t>（1）</w:t>
      </w:r>
      <w:r>
        <w:rPr>
          <w:rFonts w:eastAsiaTheme="minorEastAsia"/>
          <w:kern w:val="0"/>
          <w:sz w:val="28"/>
          <w:szCs w:val="36"/>
        </w:rPr>
        <w:t>参选人需满足在中华人民共和国境内注册、具有独立承担民事责任能力的企业法人、营业执照经营范围符合比选项目要求</w:t>
      </w:r>
      <w:r>
        <w:rPr>
          <w:rFonts w:hint="eastAsia" w:eastAsiaTheme="minorEastAsia"/>
          <w:kern w:val="0"/>
          <w:sz w:val="28"/>
          <w:szCs w:val="36"/>
        </w:rPr>
        <w:t>。须提供营业执照</w:t>
      </w:r>
      <w:r>
        <w:rPr>
          <w:rFonts w:eastAsiaTheme="minorEastAsia"/>
          <w:kern w:val="0"/>
          <w:sz w:val="28"/>
          <w:szCs w:val="36"/>
        </w:rPr>
        <w:t>，并加盖参选人公章；</w:t>
      </w:r>
    </w:p>
    <w:p w14:paraId="131DF5D5">
      <w:pPr>
        <w:shd w:val="clear" w:color="auto" w:fill="FFFFFF"/>
        <w:adjustRightInd w:val="0"/>
        <w:snapToGrid w:val="0"/>
        <w:ind w:firstLine="560" w:firstLineChars="200"/>
        <w:rPr>
          <w:rFonts w:eastAsiaTheme="minorEastAsia"/>
          <w:kern w:val="0"/>
          <w:sz w:val="28"/>
          <w:szCs w:val="36"/>
        </w:rPr>
      </w:pPr>
      <w:r>
        <w:rPr>
          <w:rFonts w:hint="eastAsia" w:eastAsiaTheme="minorEastAsia"/>
          <w:kern w:val="0"/>
          <w:sz w:val="28"/>
          <w:szCs w:val="36"/>
        </w:rPr>
        <w:t>（2）</w:t>
      </w:r>
      <w:r>
        <w:rPr>
          <w:rFonts w:eastAsiaTheme="minorEastAsia"/>
          <w:kern w:val="0"/>
          <w:sz w:val="28"/>
          <w:szCs w:val="36"/>
        </w:rPr>
        <w:t>本比选项目不接受联合体参选；</w:t>
      </w:r>
    </w:p>
    <w:p w14:paraId="065FB92C">
      <w:pPr>
        <w:shd w:val="clear" w:color="auto" w:fill="FFFFFF"/>
        <w:adjustRightInd w:val="0"/>
        <w:snapToGrid w:val="0"/>
        <w:ind w:firstLine="560" w:firstLineChars="200"/>
        <w:rPr>
          <w:rFonts w:eastAsiaTheme="minorEastAsia"/>
          <w:kern w:val="0"/>
          <w:sz w:val="28"/>
          <w:szCs w:val="36"/>
        </w:rPr>
      </w:pPr>
      <w:r>
        <w:rPr>
          <w:rFonts w:hint="eastAsia" w:eastAsiaTheme="minorEastAsia"/>
          <w:kern w:val="0"/>
          <w:sz w:val="28"/>
          <w:szCs w:val="36"/>
        </w:rPr>
        <w:t>（3）</w:t>
      </w:r>
      <w:r>
        <w:rPr>
          <w:rFonts w:eastAsiaTheme="minorEastAsia"/>
          <w:kern w:val="0"/>
          <w:sz w:val="28"/>
          <w:szCs w:val="36"/>
        </w:rPr>
        <w:t>参加本次比选活动之前的三年内，在经营活动中无重大违法记录</w:t>
      </w:r>
      <w:r>
        <w:rPr>
          <w:rFonts w:hint="eastAsia" w:eastAsiaTheme="minorEastAsia"/>
          <w:kern w:val="0"/>
          <w:sz w:val="28"/>
          <w:szCs w:val="36"/>
        </w:rPr>
        <w:t>。须提供承诺函（格式自拟）</w:t>
      </w:r>
      <w:r>
        <w:rPr>
          <w:rFonts w:eastAsiaTheme="minorEastAsia"/>
          <w:kern w:val="0"/>
          <w:sz w:val="28"/>
          <w:szCs w:val="36"/>
        </w:rPr>
        <w:t>，并加盖参选人公章；</w:t>
      </w:r>
    </w:p>
    <w:p w14:paraId="214F85DB">
      <w:pPr>
        <w:shd w:val="clear" w:color="auto" w:fill="FFFFFF"/>
        <w:adjustRightInd w:val="0"/>
        <w:snapToGrid w:val="0"/>
        <w:ind w:firstLine="560" w:firstLineChars="200"/>
        <w:rPr>
          <w:rFonts w:eastAsiaTheme="minorEastAsia"/>
          <w:kern w:val="0"/>
          <w:sz w:val="28"/>
          <w:szCs w:val="36"/>
        </w:rPr>
      </w:pPr>
      <w:r>
        <w:rPr>
          <w:rFonts w:hint="eastAsia" w:eastAsiaTheme="minorEastAsia"/>
          <w:kern w:val="0"/>
          <w:sz w:val="28"/>
          <w:szCs w:val="36"/>
        </w:rPr>
        <w:t>（4）</w:t>
      </w:r>
      <w:r>
        <w:rPr>
          <w:rFonts w:hint="eastAsia" w:eastAsiaTheme="minorEastAsia"/>
          <w:kern w:val="0"/>
          <w:sz w:val="28"/>
          <w:szCs w:val="36"/>
          <w:lang w:val="en-US" w:eastAsia="zh-CN"/>
        </w:rPr>
        <w:t>运维单位必须在新厝镇或江阴镇驻点</w:t>
      </w:r>
    </w:p>
    <w:p w14:paraId="769436FC">
      <w:pPr>
        <w:shd w:val="clear" w:color="auto" w:fill="FFFFFF"/>
        <w:adjustRightInd w:val="0"/>
        <w:snapToGrid w:val="0"/>
        <w:ind w:firstLine="560" w:firstLineChars="200"/>
        <w:rPr>
          <w:rFonts w:eastAsiaTheme="minorEastAsia"/>
          <w:kern w:val="0"/>
          <w:sz w:val="28"/>
          <w:szCs w:val="36"/>
        </w:rPr>
      </w:pPr>
      <w:r>
        <w:rPr>
          <w:rFonts w:hint="eastAsia" w:eastAsiaTheme="minorEastAsia"/>
          <w:kern w:val="0"/>
          <w:sz w:val="28"/>
          <w:szCs w:val="36"/>
        </w:rPr>
        <w:t>（</w:t>
      </w:r>
      <w:r>
        <w:rPr>
          <w:rFonts w:hint="eastAsia" w:eastAsiaTheme="minorEastAsia"/>
          <w:kern w:val="0"/>
          <w:sz w:val="28"/>
          <w:szCs w:val="36"/>
          <w:lang w:val="en-US" w:eastAsia="zh-CN"/>
        </w:rPr>
        <w:t>5</w:t>
      </w:r>
      <w:r>
        <w:rPr>
          <w:rFonts w:hint="eastAsia" w:eastAsiaTheme="minorEastAsia"/>
          <w:kern w:val="0"/>
          <w:sz w:val="28"/>
          <w:szCs w:val="36"/>
        </w:rPr>
        <w:t>）参选人须具有良好的资信信誉，在生态环境管理部门设立的信用平台网站上，近三年内不得被列入黑名单、限期整改、重点监督检查名单。须提供承诺函（格式自拟）</w:t>
      </w:r>
      <w:r>
        <w:rPr>
          <w:rFonts w:eastAsiaTheme="minorEastAsia"/>
          <w:kern w:val="0"/>
          <w:sz w:val="28"/>
          <w:szCs w:val="36"/>
        </w:rPr>
        <w:t>，并加盖参选人公章；</w:t>
      </w:r>
    </w:p>
    <w:p w14:paraId="05E8529C">
      <w:pPr>
        <w:shd w:val="clear" w:color="auto" w:fill="FFFFFF"/>
        <w:adjustRightInd w:val="0"/>
        <w:snapToGrid w:val="0"/>
        <w:ind w:firstLine="560" w:firstLineChars="200"/>
        <w:rPr>
          <w:rFonts w:hint="eastAsia" w:eastAsiaTheme="minorEastAsia"/>
          <w:kern w:val="0"/>
          <w:sz w:val="28"/>
          <w:szCs w:val="36"/>
        </w:rPr>
      </w:pPr>
      <w:r>
        <w:rPr>
          <w:rFonts w:hint="eastAsia" w:eastAsiaTheme="minorEastAsia"/>
          <w:kern w:val="0"/>
          <w:sz w:val="28"/>
          <w:szCs w:val="36"/>
        </w:rPr>
        <w:t>（</w:t>
      </w:r>
      <w:r>
        <w:rPr>
          <w:rFonts w:hint="eastAsia" w:eastAsiaTheme="minorEastAsia"/>
          <w:kern w:val="0"/>
          <w:sz w:val="28"/>
          <w:szCs w:val="36"/>
          <w:lang w:val="en-US" w:eastAsia="zh-CN"/>
        </w:rPr>
        <w:t>6</w:t>
      </w:r>
      <w:r>
        <w:rPr>
          <w:rFonts w:hint="eastAsia" w:eastAsiaTheme="minorEastAsia"/>
          <w:kern w:val="0"/>
          <w:sz w:val="28"/>
          <w:szCs w:val="36"/>
        </w:rPr>
        <w:t>）参选人没有被列入严重失信主体名单</w:t>
      </w:r>
      <w:r>
        <w:rPr>
          <w:rFonts w:eastAsiaTheme="minorEastAsia"/>
          <w:kern w:val="0"/>
          <w:sz w:val="28"/>
          <w:szCs w:val="36"/>
        </w:rPr>
        <w:t xml:space="preserve"> (以</w:t>
      </w:r>
      <w:r>
        <w:rPr>
          <w:rFonts w:hint="eastAsia" w:eastAsiaTheme="minorEastAsia"/>
          <w:kern w:val="0"/>
          <w:sz w:val="28"/>
          <w:szCs w:val="36"/>
        </w:rPr>
        <w:t>信用中国网站</w:t>
      </w:r>
      <w:r>
        <w:rPr>
          <w:rFonts w:eastAsiaTheme="minorEastAsia"/>
          <w:kern w:val="0"/>
          <w:sz w:val="28"/>
          <w:szCs w:val="36"/>
        </w:rPr>
        <w:t>信息</w:t>
      </w:r>
      <w:r>
        <w:rPr>
          <w:rFonts w:hint="eastAsia" w:eastAsiaTheme="minorEastAsia"/>
          <w:kern w:val="0"/>
          <w:sz w:val="28"/>
          <w:szCs w:val="36"/>
        </w:rPr>
        <w:t>查询</w:t>
      </w:r>
      <w:r>
        <w:rPr>
          <w:rFonts w:eastAsiaTheme="minorEastAsia"/>
          <w:kern w:val="0"/>
          <w:sz w:val="28"/>
          <w:szCs w:val="36"/>
        </w:rPr>
        <w:t>为准)</w:t>
      </w:r>
      <w:r>
        <w:rPr>
          <w:rFonts w:hint="eastAsia" w:eastAsiaTheme="minorEastAsia"/>
          <w:kern w:val="0"/>
          <w:sz w:val="28"/>
          <w:szCs w:val="36"/>
        </w:rPr>
        <w:t>，参选人须提供查询截图，</w:t>
      </w:r>
      <w:r>
        <w:rPr>
          <w:rFonts w:eastAsiaTheme="minorEastAsia"/>
          <w:kern w:val="0"/>
          <w:sz w:val="28"/>
          <w:szCs w:val="36"/>
        </w:rPr>
        <w:t>并加盖参选人公章</w:t>
      </w:r>
      <w:r>
        <w:rPr>
          <w:rFonts w:hint="eastAsia" w:eastAsiaTheme="minorEastAsia"/>
          <w:kern w:val="0"/>
          <w:sz w:val="28"/>
          <w:szCs w:val="36"/>
        </w:rPr>
        <w:t>。</w:t>
      </w:r>
    </w:p>
    <w:p w14:paraId="4AAB0A74">
      <w:pPr>
        <w:shd w:val="clear" w:color="auto" w:fill="FFFFFF"/>
        <w:adjustRightInd w:val="0"/>
        <w:snapToGrid w:val="0"/>
        <w:ind w:firstLine="560" w:firstLineChars="200"/>
        <w:rPr>
          <w:rFonts w:hint="default" w:asciiTheme="minorEastAsia" w:hAnsiTheme="minorEastAsia" w:eastAsiaTheme="minorEastAsia" w:cstheme="minorEastAsia"/>
          <w:sz w:val="24"/>
          <w:szCs w:val="24"/>
          <w:lang w:val="en-US"/>
        </w:rPr>
      </w:pPr>
      <w:r>
        <w:rPr>
          <w:rFonts w:hint="eastAsia" w:eastAsiaTheme="minorEastAsia"/>
          <w:kern w:val="0"/>
          <w:sz w:val="28"/>
          <w:szCs w:val="36"/>
          <w:lang w:val="en-US" w:eastAsia="zh-CN"/>
        </w:rPr>
        <w:t>（7）近三年内同时具备废水和锅炉烟气在线运维相关业绩。</w:t>
      </w:r>
    </w:p>
    <w:p w14:paraId="12B65C7B">
      <w:pPr>
        <w:adjustRightInd w:val="0"/>
        <w:snapToGrid w:val="0"/>
        <w:spacing w:line="240" w:lineRule="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五、基本要求</w:t>
      </w:r>
    </w:p>
    <w:p w14:paraId="3C510E8C">
      <w:pPr>
        <w:adjustRightInd w:val="0"/>
        <w:snapToGrid w:val="0"/>
        <w:spacing w:line="240" w:lineRule="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1、运维期限：自 202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t>月1</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日 起至 202</w:t>
      </w: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lang w:val="en-US" w:eastAsia="zh-CN"/>
        </w:rPr>
        <w:t>10</w:t>
      </w:r>
      <w:r>
        <w:rPr>
          <w:rFonts w:hint="eastAsia" w:asciiTheme="minorEastAsia" w:hAnsiTheme="minorEastAsia" w:eastAsiaTheme="minorEastAsia" w:cstheme="minorEastAsia"/>
          <w:sz w:val="24"/>
          <w:szCs w:val="24"/>
        </w:rPr>
        <w:t>日止</w:t>
      </w:r>
      <w:r>
        <w:rPr>
          <w:rFonts w:hint="eastAsia" w:asciiTheme="minorEastAsia" w:hAnsiTheme="minorEastAsia" w:eastAsiaTheme="minorEastAsia" w:cstheme="minorEastAsia"/>
          <w:sz w:val="24"/>
          <w:szCs w:val="24"/>
          <w:lang w:val="en-US" w:eastAsia="zh-CN"/>
        </w:rPr>
        <w:t>。</w:t>
      </w:r>
    </w:p>
    <w:p w14:paraId="2F545D58">
      <w:pPr>
        <w:adjustRightInd w:val="0"/>
        <w:snapToGrid w:val="0"/>
        <w:spacing w:line="24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2、运维内容（主要包括但不限于以下方面）：</w:t>
      </w:r>
    </w:p>
    <w:p w14:paraId="48531B5E">
      <w:pPr>
        <w:numPr>
          <w:ilvl w:val="0"/>
          <w:numId w:val="1"/>
        </w:numPr>
        <w:tabs>
          <w:tab w:val="left" w:pos="926"/>
        </w:tabs>
        <w:spacing w:line="240" w:lineRule="auto"/>
        <w:ind w:left="0" w:leftChars="0" w:firstLine="482" w:firstLineChars="200"/>
        <w:contextualSpacing/>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设备故障抢修。</w:t>
      </w:r>
      <w:r>
        <w:rPr>
          <w:rFonts w:hint="eastAsia" w:asciiTheme="minorEastAsia" w:hAnsiTheme="minorEastAsia" w:eastAsiaTheme="minorEastAsia" w:cstheme="minorEastAsia"/>
          <w:sz w:val="24"/>
          <w:szCs w:val="24"/>
          <w:lang w:val="en-US" w:eastAsia="zh-CN"/>
        </w:rPr>
        <w:t>乙方</w:t>
      </w:r>
      <w:r>
        <w:rPr>
          <w:rFonts w:hint="eastAsia" w:asciiTheme="minorEastAsia" w:hAnsiTheme="minorEastAsia" w:eastAsiaTheme="minorEastAsia" w:cstheme="minorEastAsia"/>
          <w:kern w:val="0"/>
          <w:sz w:val="24"/>
          <w:szCs w:val="24"/>
          <w:lang w:val="zh-CN" w:bidi="zh-CN"/>
        </w:rPr>
        <w:t>应具有国家生态环境部门认定的环保在线监控设施运维资质及考核合格、持证上岗的运维人员，并具备相应的技术能力和条件，对设备运行过程中出现的问题及时排查、调整及故障消除；乙方应配合甲方开展的在线系统自查、互查工作，并及时整改问题项。</w:t>
      </w:r>
    </w:p>
    <w:p w14:paraId="73A4DBA4">
      <w:pPr>
        <w:numPr>
          <w:ilvl w:val="0"/>
          <w:numId w:val="1"/>
        </w:numPr>
        <w:adjustRightInd w:val="0"/>
        <w:snapToGrid w:val="0"/>
        <w:spacing w:line="240" w:lineRule="auto"/>
        <w:ind w:left="0" w:leftChars="0" w:firstLine="482"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点检（每周不低于1次）</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zh-CN"/>
        </w:rPr>
        <w:t>按照《固定污染源烟气</w:t>
      </w:r>
      <w:r>
        <w:rPr>
          <w:rFonts w:hint="eastAsia" w:asciiTheme="minorEastAsia" w:hAnsiTheme="minorEastAsia" w:eastAsiaTheme="minorEastAsia" w:cstheme="minorEastAsia"/>
          <w:sz w:val="24"/>
          <w:szCs w:val="24"/>
        </w:rPr>
        <w:t>（NOX、S02、</w:t>
      </w:r>
      <w:r>
        <w:rPr>
          <w:rFonts w:hint="eastAsia" w:asciiTheme="minorEastAsia" w:hAnsiTheme="minorEastAsia" w:eastAsiaTheme="minorEastAsia" w:cstheme="minorEastAsia"/>
          <w:sz w:val="24"/>
          <w:szCs w:val="24"/>
          <w:lang w:val="zh-CN"/>
        </w:rPr>
        <w:t>颗粒物）排放连续监测技术规范》</w:t>
      </w:r>
      <w:r>
        <w:rPr>
          <w:rFonts w:hint="eastAsia" w:asciiTheme="minorEastAsia" w:hAnsiTheme="minorEastAsia" w:eastAsiaTheme="minorEastAsia" w:cstheme="minorEastAsia"/>
          <w:sz w:val="24"/>
          <w:szCs w:val="24"/>
        </w:rPr>
        <w:t>（HJ75-2017）</w:t>
      </w:r>
      <w:r>
        <w:rPr>
          <w:rFonts w:hint="eastAsia" w:asciiTheme="minorEastAsia" w:hAnsiTheme="minorEastAsia" w:eastAsiaTheme="minorEastAsia" w:cstheme="minorEastAsia"/>
          <w:sz w:val="24"/>
          <w:szCs w:val="24"/>
          <w:lang w:val="zh-CN"/>
        </w:rPr>
        <w:t>、《固定污染源烟气</w:t>
      </w:r>
      <w:r>
        <w:rPr>
          <w:rFonts w:hint="eastAsia" w:asciiTheme="minorEastAsia" w:hAnsiTheme="minorEastAsia" w:eastAsiaTheme="minorEastAsia" w:cstheme="minorEastAsia"/>
          <w:sz w:val="24"/>
          <w:szCs w:val="24"/>
        </w:rPr>
        <w:t>（NOX、S02、</w:t>
      </w:r>
      <w:r>
        <w:rPr>
          <w:rFonts w:hint="eastAsia" w:asciiTheme="minorEastAsia" w:hAnsiTheme="minorEastAsia" w:eastAsiaTheme="minorEastAsia" w:cstheme="minorEastAsia"/>
          <w:sz w:val="24"/>
          <w:szCs w:val="24"/>
          <w:lang w:val="zh-CN"/>
        </w:rPr>
        <w:t>颗粒物）排放连续监测系统技术要求及检测方法》</w:t>
      </w:r>
      <w:r>
        <w:rPr>
          <w:rFonts w:hint="eastAsia" w:asciiTheme="minorEastAsia" w:hAnsiTheme="minorEastAsia" w:eastAsiaTheme="minorEastAsia" w:cstheme="minorEastAsia"/>
          <w:sz w:val="24"/>
          <w:szCs w:val="24"/>
        </w:rPr>
        <w:t>（HJ76-2017）</w:t>
      </w:r>
      <w:r>
        <w:rPr>
          <w:rFonts w:hint="eastAsia" w:asciiTheme="minorEastAsia" w:hAnsiTheme="minorEastAsia" w:eastAsiaTheme="minorEastAsia" w:cstheme="minorEastAsia"/>
          <w:sz w:val="24"/>
          <w:szCs w:val="24"/>
          <w:lang w:val="zh-CN"/>
        </w:rPr>
        <w:t>及生态环境部门相关规定完成监控系统的日常运行、维护、检修、换件、试剂更换等检查维护工作，保证监控系统的正常运行，并按照生态环境部门要求做好运维记录留存，每季度将运维记录反馈至甲方归档，</w:t>
      </w:r>
      <w:r>
        <w:rPr>
          <w:rFonts w:hint="eastAsia" w:asciiTheme="minorEastAsia" w:hAnsiTheme="minorEastAsia" w:eastAsiaTheme="minorEastAsia" w:cstheme="minorEastAsia"/>
          <w:sz w:val="24"/>
          <w:szCs w:val="24"/>
          <w:lang w:val="en-US" w:eastAsia="zh-CN"/>
        </w:rPr>
        <w:t>其中水质大表（氨氮、COD、TOC、总磷、总氮）应环保局要求，需每小时分析一次，上传数据。</w:t>
      </w:r>
    </w:p>
    <w:p w14:paraId="213F12FB">
      <w:pPr>
        <w:numPr>
          <w:ilvl w:val="0"/>
          <w:numId w:val="1"/>
        </w:numPr>
        <w:adjustRightInd w:val="0"/>
        <w:snapToGrid w:val="0"/>
        <w:spacing w:line="240" w:lineRule="auto"/>
        <w:ind w:left="0" w:leftChars="0" w:firstLine="482" w:firstLineChars="200"/>
        <w:rPr>
          <w:rFonts w:hint="eastAsia" w:asciiTheme="minorEastAsia" w:hAnsiTheme="minorEastAsia" w:eastAsiaTheme="minorEastAsia" w:cstheme="minorEastAsia"/>
          <w:kern w:val="0"/>
          <w:sz w:val="24"/>
          <w:szCs w:val="24"/>
          <w:lang w:val="zh-CN" w:bidi="zh-CN"/>
        </w:rPr>
      </w:pPr>
      <w:r>
        <w:rPr>
          <w:rFonts w:hint="eastAsia" w:asciiTheme="minorEastAsia" w:hAnsiTheme="minorEastAsia" w:eastAsiaTheme="minorEastAsia" w:cstheme="minorEastAsia"/>
          <w:b/>
          <w:bCs/>
          <w:kern w:val="0"/>
          <w:sz w:val="24"/>
          <w:szCs w:val="24"/>
          <w:lang w:val="zh-CN" w:bidi="zh-CN"/>
        </w:rPr>
        <w:t>生态环境部门业务指导与监督管理</w:t>
      </w:r>
      <w:r>
        <w:rPr>
          <w:rFonts w:hint="eastAsia" w:asciiTheme="minorEastAsia" w:hAnsiTheme="minorEastAsia" w:eastAsiaTheme="minorEastAsia" w:cstheme="minorEastAsia"/>
          <w:kern w:val="0"/>
          <w:sz w:val="24"/>
          <w:szCs w:val="24"/>
          <w:lang w:val="zh-CN" w:bidi="zh-CN"/>
        </w:rPr>
        <w:t>。保证监测数据的连续可靠性，对监测数据准确性负责，按环保主管部门要求设定取样、监测频次，每月污染源在线监测系统有效数据传输率不小于98%；</w:t>
      </w:r>
    </w:p>
    <w:p w14:paraId="0A076F76">
      <w:pPr>
        <w:numPr>
          <w:ilvl w:val="0"/>
          <w:numId w:val="1"/>
        </w:numPr>
        <w:adjustRightInd w:val="0"/>
        <w:snapToGrid w:val="0"/>
        <w:spacing w:line="240" w:lineRule="auto"/>
        <w:ind w:left="0" w:leftChars="0" w:firstLine="482" w:firstLineChars="200"/>
        <w:rPr>
          <w:rFonts w:hint="eastAsia" w:asciiTheme="minorEastAsia" w:hAnsiTheme="minorEastAsia" w:eastAsiaTheme="minorEastAsia" w:cstheme="minorEastAsia"/>
          <w:kern w:val="0"/>
          <w:sz w:val="24"/>
          <w:szCs w:val="24"/>
          <w:lang w:val="zh-CN" w:bidi="zh-CN"/>
        </w:rPr>
      </w:pPr>
      <w:r>
        <w:rPr>
          <w:rFonts w:hint="eastAsia" w:asciiTheme="minorEastAsia" w:hAnsiTheme="minorEastAsia" w:eastAsiaTheme="minorEastAsia" w:cstheme="minorEastAsia"/>
          <w:b/>
          <w:bCs/>
          <w:sz w:val="24"/>
          <w:szCs w:val="24"/>
        </w:rPr>
        <w:t>仪器标定（每月不低于1次）</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kern w:val="0"/>
          <w:sz w:val="24"/>
          <w:szCs w:val="24"/>
          <w:lang w:val="zh-CN" w:bidi="zh-CN"/>
        </w:rPr>
        <w:t>按照环保规范标准要求开展运维工作，每个月至少做一次校验；</w:t>
      </w:r>
    </w:p>
    <w:p w14:paraId="3E2CECBD">
      <w:pPr>
        <w:numPr>
          <w:ilvl w:val="0"/>
          <w:numId w:val="1"/>
        </w:numPr>
        <w:tabs>
          <w:tab w:val="left" w:pos="972"/>
        </w:tabs>
        <w:spacing w:line="240" w:lineRule="auto"/>
        <w:ind w:left="0" w:leftChars="0" w:firstLine="482" w:firstLineChars="200"/>
        <w:contextualSpacing/>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设备耗件更新。</w:t>
      </w:r>
      <w:r>
        <w:rPr>
          <w:rFonts w:ascii="宋体" w:hAnsi="宋体" w:cs="宋体"/>
          <w:kern w:val="0"/>
          <w:sz w:val="24"/>
          <w:szCs w:val="24"/>
          <w:lang w:val="zh-CN" w:bidi="zh-CN"/>
        </w:rPr>
        <w:t>因国内外市场</w:t>
      </w:r>
      <w:r>
        <w:rPr>
          <w:rFonts w:hint="eastAsia" w:ascii="宋体" w:hAnsi="宋体" w:cs="宋体"/>
          <w:kern w:val="0"/>
          <w:sz w:val="24"/>
          <w:szCs w:val="24"/>
          <w:lang w:val="zh-CN" w:bidi="zh-CN"/>
        </w:rPr>
        <w:t>耗材</w:t>
      </w:r>
      <w:r>
        <w:rPr>
          <w:rFonts w:ascii="宋体" w:hAnsi="宋体" w:cs="宋体"/>
          <w:kern w:val="0"/>
          <w:sz w:val="24"/>
          <w:szCs w:val="24"/>
          <w:lang w:val="zh-CN" w:bidi="zh-CN"/>
        </w:rPr>
        <w:t>价格发生重大变化，其运维费用</w:t>
      </w:r>
      <w:r>
        <w:rPr>
          <w:rFonts w:hint="eastAsia" w:ascii="宋体" w:hAnsi="宋体" w:cs="宋体"/>
          <w:kern w:val="0"/>
          <w:sz w:val="24"/>
          <w:szCs w:val="24"/>
          <w:lang w:val="zh-CN" w:bidi="zh-CN"/>
        </w:rPr>
        <w:t>，</w:t>
      </w:r>
      <w:r>
        <w:rPr>
          <w:rFonts w:ascii="宋体" w:hAnsi="宋体" w:cs="宋体"/>
          <w:kern w:val="0"/>
          <w:sz w:val="24"/>
          <w:szCs w:val="24"/>
          <w:lang w:val="zh-CN" w:bidi="zh-CN"/>
        </w:rPr>
        <w:t>双方协商解决</w:t>
      </w:r>
      <w:r>
        <w:rPr>
          <w:rFonts w:hint="eastAsia" w:ascii="宋体" w:hAnsi="宋体" w:cs="宋体"/>
          <w:kern w:val="0"/>
          <w:sz w:val="24"/>
          <w:szCs w:val="24"/>
          <w:lang w:val="zh-CN" w:bidi="zh-CN"/>
        </w:rPr>
        <w:t>。一般而言，易耗品以及</w:t>
      </w:r>
      <w:bookmarkStart w:id="0" w:name="_GoBack"/>
      <w:bookmarkEnd w:id="0"/>
      <w:r>
        <w:rPr>
          <w:rFonts w:hint="eastAsia" w:ascii="宋体" w:hAnsi="宋体" w:cs="宋体"/>
          <w:kern w:val="0"/>
          <w:sz w:val="24"/>
          <w:szCs w:val="24"/>
          <w:lang w:val="zh-CN" w:bidi="zh-CN"/>
        </w:rPr>
        <w:t>零部件更换费用由乙方自行承担</w:t>
      </w:r>
      <w:r>
        <w:rPr>
          <w:rFonts w:ascii="宋体" w:hAnsi="宋体" w:cs="宋体"/>
          <w:kern w:val="0"/>
          <w:sz w:val="24"/>
          <w:szCs w:val="24"/>
          <w:lang w:val="zh-CN" w:bidi="zh-CN"/>
        </w:rPr>
        <w:t>。</w:t>
      </w:r>
    </w:p>
    <w:p w14:paraId="19C6C974">
      <w:pPr>
        <w:numPr>
          <w:ilvl w:val="0"/>
          <w:numId w:val="1"/>
        </w:numPr>
        <w:tabs>
          <w:tab w:val="left" w:pos="972"/>
        </w:tabs>
        <w:spacing w:line="240" w:lineRule="auto"/>
        <w:ind w:left="0" w:leftChars="0" w:firstLine="482" w:firstLineChars="200"/>
        <w:contextualSpacing/>
        <w:rPr>
          <w:rFonts w:hint="eastAsia" w:asciiTheme="minorEastAsia" w:hAnsiTheme="minorEastAsia" w:eastAsiaTheme="minorEastAsia" w:cstheme="minorEastAsia"/>
          <w:kern w:val="0"/>
          <w:sz w:val="24"/>
          <w:szCs w:val="24"/>
          <w:lang w:val="zh-CN" w:bidi="zh-CN"/>
        </w:rPr>
      </w:pPr>
      <w:r>
        <w:rPr>
          <w:rFonts w:hint="eastAsia" w:asciiTheme="minorEastAsia" w:hAnsiTheme="minorEastAsia" w:eastAsiaTheme="minorEastAsia" w:cstheme="minorEastAsia"/>
          <w:b/>
          <w:bCs/>
          <w:kern w:val="0"/>
          <w:sz w:val="24"/>
          <w:szCs w:val="24"/>
          <w:lang w:val="en-US" w:bidi="zh-CN"/>
        </w:rPr>
        <w:t>危废收集。</w:t>
      </w:r>
      <w:r>
        <w:rPr>
          <w:rFonts w:hint="eastAsia" w:asciiTheme="minorEastAsia" w:hAnsiTheme="minorEastAsia" w:eastAsiaTheme="minorEastAsia" w:cstheme="minorEastAsia"/>
          <w:b w:val="0"/>
          <w:bCs w:val="0"/>
          <w:kern w:val="0"/>
          <w:sz w:val="24"/>
          <w:szCs w:val="24"/>
          <w:lang w:val="zh-CN" w:bidi="zh-CN"/>
        </w:rPr>
        <w:t>乙方负责环保在线监测系统运维产生废物的收集，</w:t>
      </w:r>
      <w:r>
        <w:rPr>
          <w:rFonts w:hint="eastAsia" w:asciiTheme="minorEastAsia" w:hAnsiTheme="minorEastAsia" w:eastAsiaTheme="minorEastAsia" w:cstheme="minorEastAsia"/>
          <w:kern w:val="0"/>
          <w:sz w:val="24"/>
          <w:szCs w:val="24"/>
          <w:lang w:val="zh-CN" w:bidi="zh-CN"/>
        </w:rPr>
        <w:t>由乙方运维人员定期将废物回收后，移交甲方，并做好废液等危废的移交手续；</w:t>
      </w:r>
    </w:p>
    <w:p w14:paraId="7B923CEE">
      <w:pPr>
        <w:numPr>
          <w:ilvl w:val="0"/>
          <w:numId w:val="1"/>
        </w:numPr>
        <w:tabs>
          <w:tab w:val="left" w:pos="972"/>
        </w:tabs>
        <w:spacing w:line="240" w:lineRule="auto"/>
        <w:ind w:left="0" w:leftChars="0" w:firstLine="482" w:firstLineChars="200"/>
        <w:contextualSpacing/>
        <w:rPr>
          <w:rFonts w:hint="eastAsia" w:asciiTheme="minorEastAsia" w:hAnsiTheme="minorEastAsia" w:eastAsiaTheme="minorEastAsia" w:cstheme="minorEastAsia"/>
          <w:kern w:val="0"/>
          <w:sz w:val="24"/>
          <w:szCs w:val="24"/>
          <w:lang w:val="zh-CN" w:bidi="zh-CN"/>
        </w:rPr>
      </w:pPr>
      <w:r>
        <w:rPr>
          <w:rFonts w:hint="eastAsia" w:asciiTheme="minorEastAsia" w:hAnsiTheme="minorEastAsia" w:eastAsiaTheme="minorEastAsia" w:cstheme="minorEastAsia"/>
          <w:b/>
          <w:bCs/>
          <w:kern w:val="0"/>
          <w:sz w:val="24"/>
          <w:szCs w:val="24"/>
          <w:lang w:val="en-US" w:bidi="zh-CN"/>
        </w:rPr>
        <w:t>异常报备。</w:t>
      </w:r>
      <w:r>
        <w:rPr>
          <w:rFonts w:hint="eastAsia" w:asciiTheme="minorEastAsia" w:hAnsiTheme="minorEastAsia" w:eastAsiaTheme="minorEastAsia" w:cstheme="minorEastAsia"/>
          <w:kern w:val="0"/>
          <w:sz w:val="24"/>
          <w:szCs w:val="24"/>
          <w:lang w:val="zh-CN" w:bidi="zh-CN"/>
        </w:rPr>
        <w:t>因乙方运维原因及设备自身原因造成的在线监测数据问题，由乙方按要求向生态环境部门报告故障原因；</w:t>
      </w:r>
    </w:p>
    <w:p w14:paraId="663C92F7">
      <w:pPr>
        <w:numPr>
          <w:ilvl w:val="0"/>
          <w:numId w:val="1"/>
        </w:numPr>
        <w:tabs>
          <w:tab w:val="left" w:pos="972"/>
        </w:tabs>
        <w:spacing w:line="240" w:lineRule="auto"/>
        <w:ind w:left="0" w:leftChars="0" w:firstLine="482" w:firstLineChars="200"/>
        <w:contextualSpacing/>
        <w:rPr>
          <w:rFonts w:hint="eastAsia" w:asciiTheme="minorEastAsia" w:hAnsiTheme="minorEastAsia" w:eastAsiaTheme="minorEastAsia" w:cstheme="minorEastAsia"/>
          <w:kern w:val="0"/>
          <w:sz w:val="24"/>
          <w:szCs w:val="24"/>
          <w:lang w:val="zh-CN" w:bidi="zh-CN"/>
        </w:rPr>
      </w:pPr>
      <w:r>
        <w:rPr>
          <w:rFonts w:hint="eastAsia" w:asciiTheme="minorEastAsia" w:hAnsiTheme="minorEastAsia" w:eastAsiaTheme="minorEastAsia" w:cstheme="minorEastAsia"/>
          <w:b/>
          <w:bCs/>
          <w:kern w:val="0"/>
          <w:sz w:val="24"/>
          <w:szCs w:val="24"/>
          <w:lang w:val="en-US" w:bidi="zh-CN"/>
        </w:rPr>
        <w:t>运维费用管理。</w:t>
      </w:r>
      <w:r>
        <w:rPr>
          <w:rFonts w:hint="eastAsia" w:asciiTheme="minorEastAsia" w:hAnsiTheme="minorEastAsia" w:eastAsiaTheme="minorEastAsia" w:cstheme="minorEastAsia"/>
          <w:kern w:val="0"/>
          <w:sz w:val="24"/>
          <w:szCs w:val="24"/>
          <w:lang w:val="zh-CN" w:bidi="zh-CN"/>
        </w:rPr>
        <w:t>担环保在线监测系统运维管理的相关费用；</w:t>
      </w:r>
    </w:p>
    <w:p w14:paraId="3C959720">
      <w:pPr>
        <w:numPr>
          <w:ilvl w:val="0"/>
          <w:numId w:val="1"/>
        </w:numPr>
        <w:tabs>
          <w:tab w:val="left" w:pos="972"/>
        </w:tabs>
        <w:spacing w:line="240" w:lineRule="auto"/>
        <w:ind w:left="0" w:leftChars="0" w:firstLine="482" w:firstLineChars="200"/>
        <w:contextualSpacing/>
        <w:rPr>
          <w:rFonts w:hint="eastAsia" w:asciiTheme="minorEastAsia" w:hAnsiTheme="minorEastAsia" w:eastAsiaTheme="minorEastAsia" w:cstheme="minorEastAsia"/>
          <w:kern w:val="0"/>
          <w:sz w:val="24"/>
          <w:szCs w:val="24"/>
          <w:lang w:val="zh-CN" w:bidi="zh-CN"/>
        </w:rPr>
      </w:pPr>
      <w:r>
        <w:rPr>
          <w:rFonts w:hint="eastAsia" w:asciiTheme="minorEastAsia" w:hAnsiTheme="minorEastAsia" w:eastAsiaTheme="minorEastAsia" w:cstheme="minorEastAsia"/>
          <w:b/>
          <w:bCs/>
          <w:kern w:val="0"/>
          <w:sz w:val="24"/>
          <w:szCs w:val="24"/>
          <w:lang w:val="en-US" w:bidi="zh-CN"/>
        </w:rPr>
        <w:t>异常处罚管理。</w:t>
      </w:r>
      <w:r>
        <w:rPr>
          <w:rFonts w:hint="eastAsia" w:asciiTheme="minorEastAsia" w:hAnsiTheme="minorEastAsia" w:eastAsiaTheme="minorEastAsia" w:cstheme="minorEastAsia"/>
          <w:kern w:val="0"/>
          <w:sz w:val="24"/>
          <w:szCs w:val="24"/>
          <w:lang w:val="zh-CN" w:bidi="zh-CN"/>
        </w:rPr>
        <w:t>由乙方运行维护原因造成的生态环境部门的处罚等相关后果和损失由乙方全部承担；</w:t>
      </w:r>
    </w:p>
    <w:p w14:paraId="04C0CC1A">
      <w:pPr>
        <w:numPr>
          <w:ilvl w:val="0"/>
          <w:numId w:val="1"/>
        </w:numPr>
        <w:adjustRightInd w:val="0"/>
        <w:snapToGrid w:val="0"/>
        <w:spacing w:line="240" w:lineRule="auto"/>
        <w:ind w:left="0" w:leftChars="0" w:firstLine="482"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lang w:val="en-US" w:eastAsia="zh-CN"/>
        </w:rPr>
        <w:t>卫生整理。</w:t>
      </w:r>
      <w:r>
        <w:rPr>
          <w:rFonts w:hint="eastAsia" w:asciiTheme="minorEastAsia" w:hAnsiTheme="minorEastAsia" w:eastAsiaTheme="minorEastAsia" w:cstheme="minorEastAsia"/>
          <w:sz w:val="24"/>
          <w:szCs w:val="24"/>
          <w:lang w:val="en-US" w:eastAsia="zh-CN"/>
        </w:rPr>
        <w:t>所有外排</w:t>
      </w:r>
      <w:r>
        <w:rPr>
          <w:rFonts w:hint="eastAsia" w:asciiTheme="minorEastAsia" w:hAnsiTheme="minorEastAsia" w:eastAsiaTheme="minorEastAsia" w:cstheme="minorEastAsia"/>
          <w:sz w:val="24"/>
          <w:szCs w:val="24"/>
        </w:rPr>
        <w:t>站房内部</w:t>
      </w:r>
      <w:r>
        <w:rPr>
          <w:rFonts w:hint="eastAsia" w:asciiTheme="minorEastAsia" w:hAnsiTheme="minorEastAsia" w:eastAsiaTheme="minorEastAsia" w:cstheme="minorEastAsia"/>
          <w:sz w:val="24"/>
          <w:szCs w:val="24"/>
          <w:lang w:val="en-US" w:eastAsia="zh-CN"/>
        </w:rPr>
        <w:t>及采样平台</w:t>
      </w:r>
      <w:r>
        <w:rPr>
          <w:rFonts w:hint="eastAsia" w:asciiTheme="minorEastAsia" w:hAnsiTheme="minorEastAsia" w:eastAsiaTheme="minorEastAsia" w:cstheme="minorEastAsia"/>
          <w:sz w:val="24"/>
          <w:szCs w:val="24"/>
        </w:rPr>
        <w:t>的日常保洁和卫生清扫工作。</w:t>
      </w:r>
    </w:p>
    <w:p w14:paraId="0BEEEF1A">
      <w:pPr>
        <w:numPr>
          <w:ilvl w:val="0"/>
          <w:numId w:val="1"/>
        </w:numPr>
        <w:adjustRightInd w:val="0"/>
        <w:snapToGrid w:val="0"/>
        <w:spacing w:line="240" w:lineRule="auto"/>
        <w:ind w:left="0" w:leftChars="0" w:firstLine="482" w:firstLineChars="200"/>
        <w:rPr>
          <w:rFonts w:hint="eastAsia" w:asciiTheme="minorEastAsia" w:hAnsiTheme="minorEastAsia" w:eastAsiaTheme="minorEastAsia" w:cstheme="minorEastAsia"/>
          <w:kern w:val="0"/>
          <w:sz w:val="24"/>
          <w:szCs w:val="24"/>
          <w:lang w:val="zh-CN" w:bidi="zh-CN"/>
        </w:rPr>
      </w:pPr>
      <w:r>
        <w:rPr>
          <w:rFonts w:hint="eastAsia" w:asciiTheme="minorEastAsia" w:hAnsiTheme="minorEastAsia" w:eastAsiaTheme="minorEastAsia" w:cstheme="minorEastAsia"/>
          <w:b/>
          <w:bCs/>
          <w:kern w:val="0"/>
          <w:sz w:val="24"/>
          <w:szCs w:val="24"/>
          <w:lang w:val="en-US" w:bidi="zh-CN"/>
        </w:rPr>
        <w:t>车辆管理。</w:t>
      </w:r>
      <w:r>
        <w:rPr>
          <w:rFonts w:hint="eastAsia" w:asciiTheme="minorEastAsia" w:hAnsiTheme="minorEastAsia" w:eastAsiaTheme="minorEastAsia" w:cstheme="minorEastAsia"/>
          <w:kern w:val="0"/>
          <w:sz w:val="24"/>
          <w:szCs w:val="24"/>
          <w:lang w:val="zh-CN" w:bidi="zh-CN"/>
        </w:rPr>
        <w:t>乙方工作人员、车辆进入甲方厂区应遵守甲方日常行为五要求、严细快管理要求、工作许可等</w:t>
      </w:r>
      <w:r>
        <w:rPr>
          <w:rFonts w:hint="eastAsia" w:asciiTheme="minorEastAsia" w:hAnsiTheme="minorEastAsia" w:eastAsiaTheme="minorEastAsia" w:cstheme="minorEastAsia"/>
          <w:kern w:val="0"/>
          <w:sz w:val="24"/>
          <w:szCs w:val="24"/>
          <w:lang w:bidi="en-US"/>
        </w:rPr>
        <w:t>HSE</w:t>
      </w:r>
      <w:r>
        <w:rPr>
          <w:rFonts w:hint="eastAsia" w:asciiTheme="minorEastAsia" w:hAnsiTheme="minorEastAsia" w:eastAsiaTheme="minorEastAsia" w:cstheme="minorEastAsia"/>
          <w:kern w:val="0"/>
          <w:sz w:val="24"/>
          <w:szCs w:val="24"/>
          <w:lang w:val="zh-CN" w:bidi="zh-CN"/>
        </w:rPr>
        <w:t>管理要求，按照甲方要求落实运维工作日报、周报等运维管理要求。乙方人员、车辆进入甲方厂区如有违章行为，乙方按甲方承包商处罚细则承担相应处罚。</w:t>
      </w:r>
    </w:p>
    <w:p w14:paraId="4666C7ED">
      <w:pPr>
        <w:numPr>
          <w:ilvl w:val="0"/>
          <w:numId w:val="1"/>
        </w:numPr>
        <w:adjustRightInd w:val="0"/>
        <w:snapToGrid w:val="0"/>
        <w:spacing w:line="240" w:lineRule="auto"/>
        <w:ind w:left="0" w:leftChars="0" w:firstLine="482" w:firstLineChars="200"/>
        <w:rPr>
          <w:rFonts w:hint="eastAsia" w:asciiTheme="minorEastAsia" w:hAnsiTheme="minorEastAsia" w:eastAsiaTheme="minorEastAsia" w:cstheme="minorEastAsia"/>
          <w:kern w:val="0"/>
          <w:sz w:val="24"/>
          <w:szCs w:val="24"/>
          <w:lang w:val="zh-CN" w:bidi="zh-CN"/>
        </w:rPr>
      </w:pPr>
      <w:r>
        <w:rPr>
          <w:rFonts w:hint="eastAsia" w:asciiTheme="minorEastAsia" w:hAnsiTheme="minorEastAsia" w:eastAsiaTheme="minorEastAsia" w:cstheme="minorEastAsia"/>
          <w:b/>
          <w:bCs/>
          <w:kern w:val="0"/>
          <w:sz w:val="24"/>
          <w:szCs w:val="24"/>
          <w:lang w:val="en-US" w:bidi="zh-CN"/>
        </w:rPr>
        <w:t>保密制度。</w:t>
      </w:r>
      <w:r>
        <w:rPr>
          <w:rFonts w:hint="eastAsia" w:asciiTheme="minorEastAsia" w:hAnsiTheme="minorEastAsia" w:eastAsiaTheme="minorEastAsia" w:cstheme="minorEastAsia"/>
          <w:kern w:val="0"/>
          <w:sz w:val="24"/>
          <w:szCs w:val="24"/>
          <w:lang w:val="zh-CN" w:bidi="zh-CN"/>
        </w:rPr>
        <w:t>乙方工作人员应在运维期间，遵守甲方安全保卫及保密等制度。</w:t>
      </w:r>
    </w:p>
    <w:p w14:paraId="08B8DE8F">
      <w:pPr>
        <w:numPr>
          <w:ilvl w:val="0"/>
          <w:numId w:val="1"/>
        </w:numPr>
        <w:adjustRightInd w:val="0"/>
        <w:snapToGrid w:val="0"/>
        <w:spacing w:line="240" w:lineRule="auto"/>
        <w:ind w:left="0" w:leftChars="0" w:firstLine="482" w:firstLineChars="200"/>
        <w:rPr>
          <w:rFonts w:hint="eastAsia" w:ascii="宋体" w:hAnsi="宋体" w:cs="宋体"/>
          <w:kern w:val="0"/>
          <w:sz w:val="24"/>
          <w:szCs w:val="24"/>
          <w:lang w:val="zh-CN" w:bidi="zh-CN"/>
        </w:rPr>
      </w:pPr>
      <w:r>
        <w:rPr>
          <w:rFonts w:hint="eastAsia" w:asciiTheme="minorEastAsia" w:hAnsiTheme="minorEastAsia" w:eastAsiaTheme="minorEastAsia" w:cstheme="minorEastAsia"/>
          <w:b/>
          <w:bCs/>
          <w:sz w:val="24"/>
          <w:szCs w:val="24"/>
          <w:lang w:val="en-US" w:eastAsia="zh-CN"/>
        </w:rPr>
        <w:t>其他。</w:t>
      </w:r>
      <w:r>
        <w:rPr>
          <w:rFonts w:hint="eastAsia" w:asciiTheme="minorEastAsia" w:hAnsiTheme="minorEastAsia" w:eastAsiaTheme="minorEastAsia" w:cstheme="minorEastAsia"/>
          <w:sz w:val="24"/>
          <w:szCs w:val="24"/>
        </w:rPr>
        <w:t>甲方生产需要临时交办的其它紧急事务。</w:t>
      </w:r>
    </w:p>
    <w:p w14:paraId="21005E31">
      <w:pPr>
        <w:spacing w:line="24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3、服务要求：遇紧急情况时，乙方在接到故障处理任务时必须在</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个小时内到达甲方现场；</w:t>
      </w:r>
    </w:p>
    <w:p w14:paraId="1FF37BCC">
      <w:pPr>
        <w:spacing w:line="24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服务结果：所服务的设备以能达到正常稳定连续使用为原则，设备维修以甲方验收为准。设备年耗材的更换必须包含但不限于甲方所列清单，更换时通知甲方到场并记录。甲方有权在任何时间，对乙方的运维质量和记录进行监督及检查。</w:t>
      </w:r>
    </w:p>
    <w:p w14:paraId="48E8A00B">
      <w:pPr>
        <w:spacing w:line="240" w:lineRule="auto"/>
        <w:rPr>
          <w:rFonts w:hint="eastAsia" w:asciiTheme="minorEastAsia" w:hAnsiTheme="minorEastAsia" w:eastAsiaTheme="minorEastAsia" w:cstheme="minorEastAsia"/>
          <w:sz w:val="24"/>
          <w:szCs w:val="24"/>
        </w:rPr>
      </w:pPr>
    </w:p>
    <w:p w14:paraId="2D0E8EC4">
      <w:pPr>
        <w:adjustRightInd w:val="0"/>
        <w:snapToGrid w:val="0"/>
        <w:spacing w:line="240" w:lineRule="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六、质量保证</w:t>
      </w:r>
    </w:p>
    <w:p w14:paraId="52689F53">
      <w:pPr>
        <w:adjustRightInd w:val="0"/>
        <w:snapToGrid w:val="0"/>
        <w:spacing w:line="24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乙方运维过程中维修或更换的配件质保期应在自维修或更换后运行正常算起为6个月。无论运维合同是否结束，由乙方维修或更换的配件在质保期内故障，乙方需承担后续无偿维修服务。</w:t>
      </w:r>
    </w:p>
    <w:p w14:paraId="27BAD2C6">
      <w:pPr>
        <w:adjustRightInd w:val="0"/>
        <w:snapToGrid w:val="0"/>
        <w:spacing w:line="240" w:lineRule="auto"/>
        <w:ind w:firstLine="480" w:firstLineChars="200"/>
        <w:rPr>
          <w:rFonts w:hint="default" w:asciiTheme="minorEastAsia" w:hAnsiTheme="minorEastAsia" w:eastAsiaTheme="minorEastAsia" w:cstheme="minorEastAsia"/>
          <w:color w:val="E54C5E" w:themeColor="accent6"/>
          <w:sz w:val="24"/>
          <w:szCs w:val="24"/>
          <w:lang w:val="en-US" w:eastAsia="zh-CN"/>
          <w14:textFill>
            <w14:solidFill>
              <w14:schemeClr w14:val="accent6"/>
            </w14:solidFill>
          </w14:textFill>
        </w:rPr>
      </w:pPr>
      <w:r>
        <w:rPr>
          <w:rFonts w:hint="eastAsia" w:asciiTheme="minorEastAsia" w:hAnsiTheme="minorEastAsia" w:eastAsiaTheme="minorEastAsia" w:cstheme="minorEastAsia"/>
          <w:color w:val="E54C5E" w:themeColor="accent6"/>
          <w:sz w:val="24"/>
          <w:szCs w:val="24"/>
          <w:lang w:val="en-US" w:eastAsia="zh-CN"/>
          <w14:textFill>
            <w14:solidFill>
              <w14:schemeClr w14:val="accent6"/>
            </w14:solidFill>
          </w14:textFill>
        </w:rPr>
        <w:t>2、对于受到行政处罚后三年内重新开设公司进行投标的，公司可不予参与竞标活动</w:t>
      </w:r>
    </w:p>
    <w:p w14:paraId="562890CF">
      <w:pPr>
        <w:adjustRightInd w:val="0"/>
        <w:snapToGrid w:val="0"/>
        <w:spacing w:line="240" w:lineRule="auto"/>
        <w:ind w:firstLine="480" w:firstLineChars="200"/>
        <w:rPr>
          <w:rFonts w:hint="eastAsia" w:asciiTheme="minorEastAsia" w:hAnsiTheme="minorEastAsia" w:eastAsiaTheme="minorEastAsia" w:cstheme="minorEastAsia"/>
          <w:sz w:val="24"/>
          <w:szCs w:val="24"/>
        </w:rPr>
      </w:pPr>
    </w:p>
    <w:p w14:paraId="3254E263">
      <w:pPr>
        <w:adjustRightInd w:val="0"/>
        <w:snapToGrid w:val="0"/>
        <w:spacing w:line="240" w:lineRule="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七、运维标准及考核办法</w:t>
      </w:r>
    </w:p>
    <w:p w14:paraId="46E65F87">
      <w:pPr>
        <w:adjustRightInd w:val="0"/>
        <w:snapToGrid w:val="0"/>
        <w:spacing w:line="24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见附件</w:t>
      </w:r>
      <w:r>
        <w:rPr>
          <w:rFonts w:hint="eastAsia" w:asciiTheme="minorEastAsia" w:hAnsiTheme="minorEastAsia" w:eastAsiaTheme="minorEastAsia" w:cstheme="minorEastAsia"/>
          <w:sz w:val="24"/>
          <w:szCs w:val="24"/>
          <w:lang w:val="en-US" w:eastAsia="zh-CN"/>
        </w:rPr>
        <w:t>一</w:t>
      </w:r>
    </w:p>
    <w:p w14:paraId="2E7BCDF5">
      <w:pPr>
        <w:adjustRightInd w:val="0"/>
        <w:snapToGrid w:val="0"/>
        <w:spacing w:line="240" w:lineRule="auto"/>
        <w:ind w:firstLine="480" w:firstLineChars="200"/>
        <w:rPr>
          <w:rFonts w:hint="eastAsia" w:asciiTheme="minorEastAsia" w:hAnsiTheme="minorEastAsia" w:eastAsiaTheme="minorEastAsia" w:cstheme="minorEastAsia"/>
          <w:sz w:val="24"/>
          <w:szCs w:val="24"/>
          <w:lang w:val="en-US" w:eastAsia="zh-CN"/>
        </w:rPr>
      </w:pPr>
    </w:p>
    <w:p w14:paraId="193DDB2C">
      <w:pPr>
        <w:adjustRightInd w:val="0"/>
        <w:snapToGrid w:val="0"/>
        <w:spacing w:line="240" w:lineRule="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八、耗材清单（耗材更新必须包含但不限于此清单所列内容）</w:t>
      </w:r>
    </w:p>
    <w:tbl>
      <w:tblPr>
        <w:tblStyle w:val="3"/>
        <w:tblW w:w="919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10"/>
        <w:gridCol w:w="2480"/>
        <w:gridCol w:w="2480"/>
        <w:gridCol w:w="2820"/>
      </w:tblGrid>
      <w:tr w14:paraId="0693C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0616C">
            <w:pPr>
              <w:keepNext w:val="0"/>
              <w:keepLines w:val="0"/>
              <w:widowControl/>
              <w:suppressLineNumbers w:val="0"/>
              <w:spacing w:line="240" w:lineRule="auto"/>
              <w:jc w:val="left"/>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序号</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EC503">
            <w:pPr>
              <w:keepNext w:val="0"/>
              <w:keepLines w:val="0"/>
              <w:widowControl/>
              <w:suppressLineNumbers w:val="0"/>
              <w:spacing w:line="240" w:lineRule="auto"/>
              <w:jc w:val="left"/>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设备名称</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45FFE">
            <w:pPr>
              <w:keepNext w:val="0"/>
              <w:keepLines w:val="0"/>
              <w:widowControl/>
              <w:suppressLineNumbers w:val="0"/>
              <w:spacing w:line="240" w:lineRule="auto"/>
              <w:jc w:val="left"/>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规格型号</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5F3EE">
            <w:pPr>
              <w:keepNext w:val="0"/>
              <w:keepLines w:val="0"/>
              <w:widowControl/>
              <w:suppressLineNumbers w:val="0"/>
              <w:spacing w:line="240" w:lineRule="auto"/>
              <w:jc w:val="left"/>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存货编码/所属设备</w:t>
            </w:r>
          </w:p>
        </w:tc>
      </w:tr>
      <w:tr w14:paraId="0AF5C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7B06BB9B">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68431A08">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密封压环（φ6）</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64463AB6">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φ6</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369A280D">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SDL-B090803002</w:t>
            </w:r>
          </w:p>
        </w:tc>
      </w:tr>
      <w:tr w14:paraId="34BBC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64F646DF">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37ADF404">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密封压环（φ8）</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5A01F970">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φ8</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6D5E03B7">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SDL-B090803003</w:t>
            </w:r>
          </w:p>
        </w:tc>
      </w:tr>
      <w:tr w14:paraId="5E86F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06EC4237">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493716A4">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硅胶垫（φ6）</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521A2656">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φ6</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39326219">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SDL-B090900013</w:t>
            </w:r>
          </w:p>
        </w:tc>
      </w:tr>
      <w:tr w14:paraId="3A77D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73476B9">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262BD418">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硅胶垫（φ8）</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4266D585">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φ8</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1FB4D116">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SDL-B090900011</w:t>
            </w:r>
          </w:p>
        </w:tc>
      </w:tr>
      <w:tr w14:paraId="7CA19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44050F9F">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5B5B6858">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保护过滤器 FP-2T-01</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6A5530D3">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FP-2T-01</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58384A4D">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SDL-A020303001</w:t>
            </w:r>
          </w:p>
        </w:tc>
      </w:tr>
      <w:tr w14:paraId="54080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4E0D1CD4">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659D6320">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保护过滤器滤芯</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78FA84E1">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φ30×φ15×70，过滤精度2μ</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03FD2A84">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SDL-B090202019</w:t>
            </w:r>
          </w:p>
        </w:tc>
      </w:tr>
      <w:tr w14:paraId="4CC2B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6AC7F3CB">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57200198">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保护过滤器O型圈-10</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23D075FD">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φ28×3.55</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60857671">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SDL-B160601010</w:t>
            </w:r>
          </w:p>
        </w:tc>
      </w:tr>
      <w:tr w14:paraId="09814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7073F25D">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B08BA1E">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两位一通电磁阀 24V(常开)</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3054B14F">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G1/4，DC24V</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0DB92338">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SDL-B071102002</w:t>
            </w:r>
          </w:p>
        </w:tc>
      </w:tr>
      <w:tr w14:paraId="648CB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190D79B6">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5283E148">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直通终端接头 G1/4-F6</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735A302C">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PVDF，G1/4-F6</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49977490">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SDL-B060801002</w:t>
            </w:r>
          </w:p>
        </w:tc>
      </w:tr>
      <w:tr w14:paraId="616D6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70995913">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28DDFCE9">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取样泵膜片</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7B3ECBE6">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N86膜片</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3BBB8D08">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SDL-B040308009</w:t>
            </w:r>
          </w:p>
        </w:tc>
      </w:tr>
      <w:tr w14:paraId="6A669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EC6DFFA">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11</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6A84D6D2">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取样泵阀片</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360BB0B3">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F10MM</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2A880269">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SDL-B040308011</w:t>
            </w:r>
          </w:p>
        </w:tc>
      </w:tr>
      <w:tr w14:paraId="3974E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5C73E357">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7D693446">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空气过滤器</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A0B74E8">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样气安全过滤器</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63B0F4EE">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SDL-B010101009</w:t>
            </w:r>
          </w:p>
        </w:tc>
      </w:tr>
      <w:tr w14:paraId="7FAC9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5C7FE909">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13</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61CE37AD">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阻水过滤器</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27534BE4">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0.2μm</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15682FC6">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SDL-B040304001</w:t>
            </w:r>
          </w:p>
        </w:tc>
      </w:tr>
      <w:tr w14:paraId="712AA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75893C36">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14</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0119267A">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三通接头（φ6）</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308EBF56">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PVDF，F6</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25E1D4B3">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SDL-B060806001</w:t>
            </w:r>
          </w:p>
        </w:tc>
      </w:tr>
      <w:tr w14:paraId="550CE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30D3D68A">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201BC3F2">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三通接头（φ8）</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7A7C4202">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PVDF，F8</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36669DD2">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SDL-B060806002</w:t>
            </w:r>
          </w:p>
        </w:tc>
      </w:tr>
      <w:tr w14:paraId="353C9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6482A66B">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16</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3F0F809">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过滤棉（分析柜滤网）</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0B380E7D">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FU-9805A</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4A6204D5">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SDL-B030401023</w:t>
            </w:r>
          </w:p>
        </w:tc>
      </w:tr>
      <w:tr w14:paraId="1317E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19CD9FAF">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17</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2199E30F">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探头滤芯(镍合金)</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03C10AAF">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φ35×125</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26BC712A">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SDL-B090109001</w:t>
            </w:r>
          </w:p>
        </w:tc>
      </w:tr>
      <w:tr w14:paraId="1043F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1495F8F5">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18</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2872D039">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探头密封垫 PTFE</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3628A48E">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φ49×φ37</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0DE47486">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SDL-B090109009</w:t>
            </w:r>
          </w:p>
        </w:tc>
      </w:tr>
      <w:tr w14:paraId="1A735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6C529B02">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19</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499EDFD3">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压缩空气过滤减压阀-自助排水型</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68B671DE">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QAW4000-04D，接口G1/2</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0914F756">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SDL-B040303079</w:t>
            </w:r>
          </w:p>
        </w:tc>
      </w:tr>
      <w:tr w14:paraId="17776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E3E9384">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20</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45738410">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铂电阻</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2BBAB94B">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PT100</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652A8C2B">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SDL-B050802032</w:t>
            </w:r>
          </w:p>
        </w:tc>
      </w:tr>
      <w:tr w14:paraId="33B20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33EA0948">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21</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37784EED">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两通电磁阀(PTFE)24V</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2094193">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1/4NPT,DC24V,常开</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5D8A12AF">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SDL-B072101001</w:t>
            </w:r>
          </w:p>
        </w:tc>
      </w:tr>
      <w:tr w14:paraId="19D4F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7FE1ADC2">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22</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347E628A">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保护过滤器滤芯</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04CC3DDE">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φ30×φ15×70，过滤精度2μ</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550CA8B5">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SDL-B090202019</w:t>
            </w:r>
          </w:p>
        </w:tc>
      </w:tr>
      <w:tr w14:paraId="606D8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79EB6CAB">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23</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E8662BC">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保护过滤器O型圈</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79316C3">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φ28×3.55</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7175CE78">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SDL-B160601010</w:t>
            </w:r>
          </w:p>
        </w:tc>
      </w:tr>
      <w:tr w14:paraId="4F578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09F32890">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24</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783D74D9">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玻璃过滤器保护罩</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63945E66">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φ45×126</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05899CEC">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SDL-B090202017</w:t>
            </w:r>
          </w:p>
        </w:tc>
      </w:tr>
      <w:tr w14:paraId="28495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64BF64A4">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25</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09E7F5B1">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两位一通电磁阀 24V(常开)</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22E37A5">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G1/4，DC24V</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26331AED">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SDL-B071102002</w:t>
            </w:r>
          </w:p>
        </w:tc>
      </w:tr>
      <w:tr w14:paraId="1EFEB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1F0B39C0">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26</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2469F4C3">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取样泵膜片</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4F6FFA61">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N86膜片</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65AF0446">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SDL-B040308009</w:t>
            </w:r>
          </w:p>
        </w:tc>
      </w:tr>
      <w:tr w14:paraId="16C2A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5861B63B">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27</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0CE32102">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取样泵阀片</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5ED79751">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F10MM</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16059F4A">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SDL-B040308011</w:t>
            </w:r>
          </w:p>
        </w:tc>
      </w:tr>
      <w:tr w14:paraId="2D625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7FF9DE45">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28</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02332400">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空气过滤器</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24699687">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样气安全过滤器</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03449131">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SDL-B010101009</w:t>
            </w:r>
          </w:p>
        </w:tc>
      </w:tr>
      <w:tr w14:paraId="20D9C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95EAD06">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29</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277BD48B">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阻水过滤器</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CFE87C3">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0.2μm</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5DA264CC">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SDL-B040304001</w:t>
            </w:r>
          </w:p>
        </w:tc>
      </w:tr>
      <w:tr w14:paraId="7D086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11590FEF">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30</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3BCD2E94">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CGC-03B温控器</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5B472FE1">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TE4-SB10W</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322C7C4A">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SDL-B050802016</w:t>
            </w:r>
          </w:p>
        </w:tc>
      </w:tr>
      <w:tr w14:paraId="665C1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3A11720C">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31</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33566BD0">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温控开关-60℃</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043DC7EA">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KSD301，250V-10A/60°常开</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4ADDB526">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SDL-B050802043</w:t>
            </w:r>
          </w:p>
        </w:tc>
      </w:tr>
      <w:tr w14:paraId="09095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47CC4471">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32</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65A9C949">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温控开关-180℃</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371ED68">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36TXHE21，BLAE160-20℃</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top"/>
          </w:tcPr>
          <w:p w14:paraId="1931AFBD">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SDL-B050802041</w:t>
            </w:r>
          </w:p>
        </w:tc>
      </w:tr>
      <w:tr w14:paraId="1702F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012F1674">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33</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EE95E">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进样阀岛/六通阀</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8CB5F">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WTA-2-6MFGT-12</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69BD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SDL-B071502004</w:t>
            </w:r>
          </w:p>
        </w:tc>
      </w:tr>
      <w:tr w14:paraId="2865CE73">
        <w:tblPrEx>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13EA4E29">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34</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FD6FD">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进样阀岛/六通阀</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E238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六联 0127A FFKM</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18532">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SDL-B023001193</w:t>
            </w:r>
          </w:p>
        </w:tc>
      </w:tr>
      <w:tr w14:paraId="650E0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7D21A824">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35</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108D2">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两通电磁阀（泄压/混合阀）</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0A78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WTA-2R-1/4UF</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10A57">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SDL-B071502003</w:t>
            </w:r>
          </w:p>
        </w:tc>
      </w:tr>
      <w:tr w14:paraId="2DD59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13AF9559">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36</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CB82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防腐两通电磁阀（排空阀）</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AF3B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WTA-2T-1/4UG</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52856">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SDL-B071502002</w:t>
            </w:r>
          </w:p>
        </w:tc>
      </w:tr>
      <w:tr w14:paraId="0B26B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73A476A">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37</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B2472">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电磁阀</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389C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MTV-2-1/4UNHT-11</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8B97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SDL-B071502012</w:t>
            </w:r>
          </w:p>
        </w:tc>
      </w:tr>
      <w:tr w14:paraId="1ADEF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027AE49A">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38</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E9A8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COD高压阀</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3851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MTV-2A-1/4UGHT，24VDC</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DFC93">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SDL-B071502021</w:t>
            </w:r>
          </w:p>
        </w:tc>
      </w:tr>
      <w:tr w14:paraId="56D11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46C83E0B">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39</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D1F7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防腐三通电磁阀</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4EEE9">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6606型,3/2–way valve</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8FF42">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SDL-B071102009</w:t>
            </w:r>
          </w:p>
        </w:tc>
      </w:tr>
      <w:tr w14:paraId="27711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483EE3F">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40</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B4E9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防腐两通电磁阀</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6A6CF">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6606型,2/2–way valve NC</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315F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SDL-B071102004</w:t>
            </w:r>
          </w:p>
        </w:tc>
      </w:tr>
      <w:tr w14:paraId="79478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4FEA2A2A">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41</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95527">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9通旋转阀</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8C83E">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SDL-9811-XZF</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15223">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SDL-B023001134</w:t>
            </w:r>
          </w:p>
        </w:tc>
      </w:tr>
      <w:tr w14:paraId="6B1A3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6EB9E3C5">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42</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E95C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8通旋转阀</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340E6">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SDL-9811-XZF（8-way）</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14A6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SDL-B023001166</w:t>
            </w:r>
          </w:p>
        </w:tc>
      </w:tr>
      <w:tr w14:paraId="672A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060AA755">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43</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45806">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电路主板(NH3)</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729F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Model9820-NH3</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EC1B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SDL-B023001008</w:t>
            </w:r>
          </w:p>
        </w:tc>
      </w:tr>
      <w:tr w14:paraId="43721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3935B0BA">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44</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7EC37">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电路主板（六价铬）</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A37F7">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Model9830-六价铬</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D362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SDL-B023001017</w:t>
            </w:r>
          </w:p>
        </w:tc>
      </w:tr>
      <w:tr w14:paraId="66F01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11BF95B1">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45</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E453D">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电路主板 (COD)</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A7AC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Model9810-COD</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B4CFD">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SDL-B023001014</w:t>
            </w:r>
          </w:p>
        </w:tc>
      </w:tr>
      <w:tr w14:paraId="02E8B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4DC18E0B">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46</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DECD9">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电路主板（总铬）</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771F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Model9830-总铬</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359F2">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SDL-B023001024</w:t>
            </w:r>
          </w:p>
        </w:tc>
      </w:tr>
      <w:tr w14:paraId="1141D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40BCAD59">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47</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DDBEF">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电路主板（总铜）</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B3AA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Model9830-总铜</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D1053">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SDL-B023001033</w:t>
            </w:r>
          </w:p>
        </w:tc>
      </w:tr>
      <w:tr w14:paraId="1BF8C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3683347">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48</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532C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电路主板（总镍）</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D15C9">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Model9830-总镍</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48F23">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SDL-B023001036</w:t>
            </w:r>
          </w:p>
        </w:tc>
      </w:tr>
      <w:tr w14:paraId="68541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6E385226">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49</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38C22">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电路主板（总磷）</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0412D">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Model9840-总磷</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F8EC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SDL-B023001042</w:t>
            </w:r>
          </w:p>
        </w:tc>
      </w:tr>
      <w:tr w14:paraId="20BCB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6D45932C">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50</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5CE9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电路主板（总锌）</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FE7AF">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Model9830-总锌</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01627">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SDL-B023001066</w:t>
            </w:r>
          </w:p>
        </w:tc>
      </w:tr>
      <w:tr w14:paraId="63B42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34BCEAC1">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51</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541D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电路主板（氰化物）</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D7953">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Model9860-氰化物</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CE9B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SDL-B023001050</w:t>
            </w:r>
          </w:p>
        </w:tc>
      </w:tr>
      <w:tr w14:paraId="21ECF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11111F7A">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52</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797BC">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电路主板（高锰酸盐）</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8DBC6">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Model9811-COD Mn</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AF69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SDL-B023001192</w:t>
            </w:r>
          </w:p>
        </w:tc>
      </w:tr>
      <w:tr w14:paraId="18718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6E6E5148">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53</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B5A33">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电路主板（总氮）</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D9D86">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Model9850-总氮</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9192D">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SDL-B023001030</w:t>
            </w:r>
          </w:p>
        </w:tc>
      </w:tr>
      <w:tr w14:paraId="24A16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62E952A9">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54</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672D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LED灯检测</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EC1A2">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TLOH20TP</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AB8EC">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SDL-B120804001</w:t>
            </w:r>
          </w:p>
        </w:tc>
      </w:tr>
      <w:tr w14:paraId="587DF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4A980FE8">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55</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A4736">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检测光源（绿光）</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E67CC">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检测光源</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8DB8E">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SDL-B023001133</w:t>
            </w:r>
          </w:p>
        </w:tc>
      </w:tr>
      <w:tr w14:paraId="26CFC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1C078A24">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56</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B8DB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总氮检测光源</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3EFCF">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紫外光源</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3C997">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SDL-B023001129</w:t>
            </w:r>
          </w:p>
        </w:tc>
      </w:tr>
      <w:tr w14:paraId="722EA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68BA4C9F">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57</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75AC2">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TP光源</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6128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SDL-9840-GY</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F39E6">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SDL-B023001132</w:t>
            </w:r>
          </w:p>
        </w:tc>
      </w:tr>
      <w:tr w14:paraId="512F5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3EB60207">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58</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7F55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光电池</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4ABE7">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BPW20RF</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237C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SDL-B130301011</w:t>
            </w:r>
          </w:p>
        </w:tc>
      </w:tr>
      <w:tr w14:paraId="2193B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5A216549">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59</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69359">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计量石英管</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6B4D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内径7，外径10，长100</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8E0BD">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SDL-B120601007</w:t>
            </w:r>
          </w:p>
        </w:tc>
      </w:tr>
      <w:tr w14:paraId="7A99D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0FF7F13A">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60</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340D2">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计量玻璃管（总磷）</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EAF96">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Model9840-TP</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F8323">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SDL-B023001142</w:t>
            </w:r>
          </w:p>
        </w:tc>
      </w:tr>
      <w:tr w14:paraId="4CD8C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32F7CA98">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61</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6A2A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消解池</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C662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Φ20×91</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99536">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SDL-B169902124</w:t>
            </w:r>
          </w:p>
        </w:tc>
      </w:tr>
      <w:tr w14:paraId="5CCE4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79889157">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62</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73ED6">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电路转接板3（泵阀板）</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5070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电路转接板3（泵阀板）</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6C4A2">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SDL-B023001122</w:t>
            </w:r>
          </w:p>
        </w:tc>
      </w:tr>
      <w:tr w14:paraId="6CC88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5B3CE456">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63</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CBD73">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电路转接板2（温控板）</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7589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电路转接板2（温控板）</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59A2E">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SDL-B023001123</w:t>
            </w:r>
          </w:p>
        </w:tc>
      </w:tr>
      <w:tr w14:paraId="03B13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22868CF">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64</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E1CE9">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电路转接板1（总转接板）</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8CE2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电路转接板1（总转接板）</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457A9">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SDL-B023001124</w:t>
            </w:r>
          </w:p>
        </w:tc>
      </w:tr>
      <w:tr w14:paraId="55093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2AED8F3">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65</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D973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电路转接板（总转接板）</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A99C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电路转接板（总转接板，高锰酸盐专用）</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9E292">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SDL-B023001130</w:t>
            </w:r>
          </w:p>
        </w:tc>
      </w:tr>
      <w:tr w14:paraId="5FD58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5A339927">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66</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DB43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蠕动泵</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8A3C2">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PX-16</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2478D">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SDL-B040309022</w:t>
            </w:r>
          </w:p>
        </w:tc>
      </w:tr>
      <w:tr w14:paraId="5BFDC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1B2F7F6B">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67</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81F1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加热丝</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BBE1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铁铝材质，直径0.35mm，14，9欧/m</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7020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SDL-B161203018</w:t>
            </w:r>
          </w:p>
        </w:tc>
      </w:tr>
      <w:tr w14:paraId="76ECE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369BB127">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68</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46D4E">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蠕动泵管</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60DCE">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内径1/8英寸，外径1/4英寸，23cm</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3D55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SDL-B140106016</w:t>
            </w:r>
          </w:p>
        </w:tc>
      </w:tr>
      <w:tr w14:paraId="60856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7851BAED">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69</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464FD">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注射泵</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049E2">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SDL-9811-ZSB</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9205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SDL-B023001131</w:t>
            </w:r>
          </w:p>
        </w:tc>
      </w:tr>
      <w:tr w14:paraId="5C4DE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766442B5">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70</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87BBD">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滴定泵</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CA8DE">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SDL-9811-DDB</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A296D">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SDL-B023001140</w:t>
            </w:r>
          </w:p>
        </w:tc>
      </w:tr>
      <w:tr w14:paraId="1D232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07A7A494">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71</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B648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步进电机（蠕动泵电机）</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6D15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STP-59D3020，1.8°/step，0.82Ω</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EF05D">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SDL-B051101045</w:t>
            </w:r>
          </w:p>
        </w:tc>
      </w:tr>
      <w:tr w14:paraId="10897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4C63B5CF">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72</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C472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步进电机驱动器</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61319">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DM422C</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DD452">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SDL-B051101093</w:t>
            </w:r>
          </w:p>
        </w:tc>
      </w:tr>
      <w:tr w14:paraId="18E7A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76A26B2E">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73</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1E0E3">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温度变送器</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D39A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MS180-A2317A</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E3C87">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SDL-B050802084</w:t>
            </w:r>
          </w:p>
        </w:tc>
      </w:tr>
      <w:tr w14:paraId="26F5F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EA7A070">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74</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733C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消解池风扇</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FD576">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 9810/9811/9840/9850</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1920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SDL-B023001045</w:t>
            </w:r>
          </w:p>
        </w:tc>
      </w:tr>
      <w:tr w14:paraId="6D063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EED4ABB">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75</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B1E7F">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热敏打印机</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FC21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RD-E32-SN，DC24V</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CCB46">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SDL-B169902123</w:t>
            </w:r>
          </w:p>
        </w:tc>
      </w:tr>
      <w:tr w14:paraId="45DC5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543A103C">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76</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FECD7">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PLC</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93F2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AFPX-C38AT-F</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75B9D">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SDL-B050104027</w:t>
            </w:r>
          </w:p>
        </w:tc>
      </w:tr>
      <w:tr w14:paraId="661B1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721AA7B4">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77</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1E2BE">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FP-X C38AT通迅模块</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5AD6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AFPX-COM2</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83F9C">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SDL-B050104025</w:t>
            </w:r>
          </w:p>
        </w:tc>
      </w:tr>
      <w:tr w14:paraId="773D2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422F15A0">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78</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4F55F">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备份电池</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3846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AFPX-BATT</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CDC7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SDL-B169902125</w:t>
            </w:r>
          </w:p>
        </w:tc>
      </w:tr>
      <w:tr w14:paraId="3A3C2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4C28ED83">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79</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AAF4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扩展模块</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B543E">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AFPX-TR8</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903B7">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SDL-B050104026</w:t>
            </w:r>
          </w:p>
        </w:tc>
      </w:tr>
      <w:tr w14:paraId="317FF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424895DD">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80</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A075D">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触摸屏</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24F63">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TPC7062KX</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C9BD7">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SDL-B051104014</w:t>
            </w:r>
          </w:p>
        </w:tc>
      </w:tr>
      <w:tr w14:paraId="54722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433AF361">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81</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FCB33">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Y型过滤器</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8835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Model98XX系列水质仪表</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B349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SDL-B023001147</w:t>
            </w:r>
          </w:p>
        </w:tc>
      </w:tr>
      <w:tr w14:paraId="55C98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0A5FE16">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82</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BBFFD">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消解池（大）</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4FD0E">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Φ25×91</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68253">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SDL-B169902175</w:t>
            </w:r>
          </w:p>
        </w:tc>
      </w:tr>
      <w:tr w14:paraId="63F98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15DE4A8C">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83</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7508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消解室支架</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75AE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消解池支架（含保护外壳、固定附件、螺丝）</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812D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SDL-B023001213</w:t>
            </w:r>
          </w:p>
        </w:tc>
      </w:tr>
      <w:tr w14:paraId="12752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0155BC4E">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84</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BAA4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总铅触摸屏</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03F6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SHL-TPB-CMP</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202F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SDL-B023001082</w:t>
            </w:r>
          </w:p>
        </w:tc>
      </w:tr>
      <w:tr w14:paraId="29014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689F4FBD">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85</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5087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总镉触摸屏</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50086">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SHL-TCD-CMP</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D108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SDL-B023001086</w:t>
            </w:r>
          </w:p>
        </w:tc>
      </w:tr>
      <w:tr w14:paraId="09BC5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6649FE44">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86</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6A5A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总铅信号板</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F235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SHL-TPB-XHB</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8117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SDL-B023001091</w:t>
            </w:r>
          </w:p>
        </w:tc>
      </w:tr>
      <w:tr w14:paraId="41E01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4B3E33E6">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87</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B8B5F">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总铅PD模块</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C50D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SHL-TPB-PD</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CBCE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SDL-B023001092</w:t>
            </w:r>
          </w:p>
        </w:tc>
      </w:tr>
      <w:tr w14:paraId="265C3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3556BDEA">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88</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629A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总镉LED测试光源</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339F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470-L1607</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B59C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SDL-B023001093</w:t>
            </w:r>
          </w:p>
        </w:tc>
      </w:tr>
      <w:tr w14:paraId="755DF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5EB48E08">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89</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A1F9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总铅计量模块</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2C716">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SHL-TPB-JL</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A964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SDL-B023001094</w:t>
            </w:r>
          </w:p>
        </w:tc>
      </w:tr>
      <w:tr w14:paraId="7F385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5FEC19C1">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90</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4FA87">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总镉PD模块</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85D7F">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SHL-TCD-PD</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0640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SDL-B023001095</w:t>
            </w:r>
          </w:p>
        </w:tc>
      </w:tr>
      <w:tr w14:paraId="786E8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2DDAB9E">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91</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15773">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总铅色消解模块</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47F8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SHL-TPB-FYF</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32C3E">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SDL-B023001096</w:t>
            </w:r>
          </w:p>
        </w:tc>
      </w:tr>
      <w:tr w14:paraId="0F16D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4573787">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92</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29A9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总镉计量模块</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70139">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SHL-TCD-JL</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D2137">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SDL-B023001097</w:t>
            </w:r>
          </w:p>
        </w:tc>
      </w:tr>
      <w:tr w14:paraId="5399E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51506A83">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93</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72177">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总镉比色消解模块</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438F7">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SHL-TCD-FYF</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2BE0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SDL-B023001098</w:t>
            </w:r>
          </w:p>
        </w:tc>
      </w:tr>
      <w:tr w14:paraId="1BE31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4B3E48B3">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94</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02063">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总铅控制板</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1CE8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SHL-TPB-KZB</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D279C">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SDL-B023001099</w:t>
            </w:r>
          </w:p>
        </w:tc>
      </w:tr>
      <w:tr w14:paraId="06D48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A69379D">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95</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DD717">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总铅LED测试光源</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3BD0F">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 9830Ⅱ型总铅</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CE32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SDL-B023001100</w:t>
            </w:r>
          </w:p>
        </w:tc>
      </w:tr>
      <w:tr w14:paraId="5C16F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6ABEEF9D">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96</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BABF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总镉控制板</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5841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SHL-TCD-KZB</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BEFD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SDL-B023001101</w:t>
            </w:r>
          </w:p>
        </w:tc>
      </w:tr>
      <w:tr w14:paraId="265ED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3089842A">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97</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B74F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计量石英玻璃管</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2D13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长11.8，内径8，壁厚1</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E916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SDL-B023001103</w:t>
            </w:r>
          </w:p>
        </w:tc>
      </w:tr>
      <w:tr w14:paraId="5EA1E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4AA224D0">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98</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69C6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电源板</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780A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SHL-DYB</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62A9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SDL-B023001104</w:t>
            </w:r>
          </w:p>
        </w:tc>
      </w:tr>
      <w:tr w14:paraId="522B5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6A1593D1">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99</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EA89F">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总镉信号板</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74802">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SHL-TCD-XHB</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2E70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SDL-B023001105</w:t>
            </w:r>
          </w:p>
        </w:tc>
      </w:tr>
      <w:tr w14:paraId="69377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6942DB8A">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100</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DA8D9">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总镉触摸屏</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351B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SHL-TCD-CMP</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7BF1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SDL-B023001086</w:t>
            </w:r>
          </w:p>
        </w:tc>
      </w:tr>
      <w:tr w14:paraId="2A0A9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5890BF4E">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101</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EEA0E">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总铅信号板</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B9F4C">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SHL-TPB-XHB</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13366">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SDL-B023001091</w:t>
            </w:r>
          </w:p>
        </w:tc>
      </w:tr>
      <w:tr w14:paraId="23B17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0886672E">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102</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339C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总铅PD模块</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6322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SHL-TPB-PD</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9E88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SDL-B023001092</w:t>
            </w:r>
          </w:p>
        </w:tc>
      </w:tr>
      <w:tr w14:paraId="7C247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709F5D3">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103</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5AE3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总镉LED测试光源</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B408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470-L1607</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DAD9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SDL-B023001093</w:t>
            </w:r>
          </w:p>
        </w:tc>
      </w:tr>
      <w:tr w14:paraId="3D8A0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39B9E794">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104</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6115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总铅计量模块</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79A3F">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SHL-TPB-JL</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67BBF">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SDL-B023001094</w:t>
            </w:r>
          </w:p>
        </w:tc>
      </w:tr>
      <w:tr w14:paraId="171DC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37B24284">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105</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5F76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总镉PD模块</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44CF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SHL-TCD-PD</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786BF">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SDL-B023001095</w:t>
            </w:r>
          </w:p>
        </w:tc>
      </w:tr>
      <w:tr w14:paraId="21EA6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193CE2E6">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106</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1C15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总铅色消解模块</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745B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SHL-TPB-FYF</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1760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SDL-B023001096</w:t>
            </w:r>
          </w:p>
        </w:tc>
      </w:tr>
      <w:tr w14:paraId="1F8FD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43C90638">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107</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A569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总镉计量模块</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7E73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SHL-TCD-JL</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F34D6">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SDL-B023001097</w:t>
            </w:r>
          </w:p>
        </w:tc>
      </w:tr>
      <w:tr w14:paraId="0F0A8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66E9CA82">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108</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E9736">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总镉比色消解模块</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5577E">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SHL-TCD-FYF</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E0733">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SDL-B023001098</w:t>
            </w:r>
          </w:p>
        </w:tc>
      </w:tr>
      <w:tr w14:paraId="461BD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3B85D2F3">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109</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EC799">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总铅控制板</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32BB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SHL-TPB-KZB</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A98EE">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SDL-B023001099</w:t>
            </w:r>
          </w:p>
        </w:tc>
      </w:tr>
      <w:tr w14:paraId="09A25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0A4B34D0">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110</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A8A4E">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总铅LED测试光源</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9B1C7">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 9830Ⅱ型总铅</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D049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SDL-B023001100</w:t>
            </w:r>
          </w:p>
        </w:tc>
      </w:tr>
      <w:tr w14:paraId="65B29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544E20B0">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111</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85B82">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总镉控制板</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A56A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SHL-TCD-KZB</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E7EEF">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SDL-B023001101</w:t>
            </w:r>
          </w:p>
        </w:tc>
      </w:tr>
      <w:tr w14:paraId="20F44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08321D44">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112</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B55F3">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计量石英玻璃管</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09F1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长11.8，内径8，壁厚1</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4920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SDL-B023001103</w:t>
            </w:r>
          </w:p>
        </w:tc>
      </w:tr>
      <w:tr w14:paraId="44A8A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450D1A02">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113</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E412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电源板</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FAF3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SHL-DYB</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A83F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SDL-B023001104</w:t>
            </w:r>
          </w:p>
        </w:tc>
      </w:tr>
      <w:tr w14:paraId="11BB1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325E0007">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114</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0588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总镉信号板</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ECDA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SHL-TCD-XHB</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8802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SDL-B023001105</w:t>
            </w:r>
          </w:p>
        </w:tc>
      </w:tr>
      <w:tr w14:paraId="4C4ED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652CDE58">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115</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54C9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七联体进样阀岛</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A946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XTA-2E-7MFG3U</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5199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SDL-B023001112</w:t>
            </w:r>
          </w:p>
        </w:tc>
      </w:tr>
      <w:tr w14:paraId="60852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CE21114">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116</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034EC">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12联体进样阀岛</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3CF47">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XTA-2E-12MFG2U，24VDC，200kPa（总砷用）</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6554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SDL-B071502019</w:t>
            </w:r>
          </w:p>
        </w:tc>
      </w:tr>
      <w:tr w14:paraId="2938B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058452C3">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117</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C701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采水蠕动泵</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3766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803-BJ-16</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1053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SDL-B023001138</w:t>
            </w:r>
          </w:p>
        </w:tc>
      </w:tr>
      <w:tr w14:paraId="399AB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E656920">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118</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29DDD">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蠕动泵管</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33C03">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24#</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76F6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SDL-B023001139</w:t>
            </w:r>
          </w:p>
        </w:tc>
      </w:tr>
      <w:tr w14:paraId="2C64B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18C31524">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119</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5B5F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开关电源</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C4FE6">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24V，100W</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9E8C2">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SDL-B023001182</w:t>
            </w:r>
          </w:p>
        </w:tc>
      </w:tr>
      <w:tr w14:paraId="7350E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61E3407">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120</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7773C">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CPU板</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4E81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核心板</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6008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SDL-B023001177</w:t>
            </w:r>
          </w:p>
        </w:tc>
      </w:tr>
      <w:tr w14:paraId="71FE1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00F0279E">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121</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7A23E">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主控板</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3267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控制板</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A4C7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SDL-B023001167</w:t>
            </w:r>
          </w:p>
        </w:tc>
      </w:tr>
      <w:tr w14:paraId="65D8F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4DE6013B">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122</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18B0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主控板</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9E5E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控制板</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E5CED">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SDL-B023001170</w:t>
            </w:r>
          </w:p>
        </w:tc>
      </w:tr>
      <w:tr w14:paraId="531B7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4B40CF30">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123</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96EC3">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电磁阀（夹管阀）</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3FAD6">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夹管阀（用于取水流路的切换）</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3225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SDL-B023001179</w:t>
            </w:r>
          </w:p>
        </w:tc>
      </w:tr>
      <w:tr w14:paraId="27839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5906F76B">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124</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0304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电容式接近开关</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BB4E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电容式接近开关（用于检测进样水管中是否有液体）</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A9F5F">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SDL-B023001175</w:t>
            </w:r>
          </w:p>
        </w:tc>
      </w:tr>
      <w:tr w14:paraId="7936B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5C99225C">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125</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E13E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联轴器</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D4293">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803F-116-01</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ABD62">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SDL-B023001176</w:t>
            </w:r>
          </w:p>
        </w:tc>
      </w:tr>
      <w:tr w14:paraId="1B69F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381DCF28">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126</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E4AF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电动球阀</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FAA3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电动球阀（用于排空混样桶）</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53B29">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SDL-B023001171</w:t>
            </w:r>
          </w:p>
        </w:tc>
      </w:tr>
      <w:tr w14:paraId="4527C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79DBEE7F">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127</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C9A27">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搅拌电机</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FC352">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搅拌电机（用于混样桶水样混合）</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3BBF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SDL-B023001178</w:t>
            </w:r>
          </w:p>
        </w:tc>
      </w:tr>
      <w:tr w14:paraId="3163A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CAFA9EC">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128</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28306">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COD配套试剂</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918A6">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 9810-COD （自制）</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E0FA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SDL-A111100028</w:t>
            </w:r>
          </w:p>
        </w:tc>
      </w:tr>
      <w:tr w14:paraId="63EE4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5F8175F7">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129</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B4D97">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氨氮配套试剂</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A40A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 9820-氨氮（自制）</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2525E">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SDL-B080302383</w:t>
            </w:r>
          </w:p>
        </w:tc>
      </w:tr>
      <w:tr w14:paraId="27C44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7B70FE3">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130</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2548D">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总磷配套试剂</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8F906">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 9840-总磷（自制）</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BBDE6">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SDL-B080302386</w:t>
            </w:r>
          </w:p>
        </w:tc>
      </w:tr>
      <w:tr w14:paraId="45EDC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1DBD7B1C">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131</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10603">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总氮配套试剂</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40BC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 9850-总氮（自制）</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3725D">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SDL-B080302384</w:t>
            </w:r>
          </w:p>
        </w:tc>
      </w:tr>
      <w:tr w14:paraId="2479B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6B4935F6">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132</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AC8C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总氮2.0配套试剂</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F0DB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 9850-总氮</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B738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SDL-B080302385</w:t>
            </w:r>
          </w:p>
        </w:tc>
      </w:tr>
      <w:tr w14:paraId="1E9B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0B89A6B0">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133</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73A5E">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COD配套试剂</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00A7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 9810-COD （定制）</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0DCC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SDL-B080302022</w:t>
            </w:r>
          </w:p>
        </w:tc>
      </w:tr>
      <w:tr w14:paraId="54464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464AD011">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134</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463DD">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氨氮配套试剂</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6958D">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 9820-氨氮（定制）</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E74A6">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SDL-B080302021</w:t>
            </w:r>
          </w:p>
        </w:tc>
      </w:tr>
      <w:tr w14:paraId="6A816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E60BCAE">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135</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7C2F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总磷配套试剂</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6CBF9">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 9840-总磷（定制）</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B1007">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SDL-B080302065</w:t>
            </w:r>
          </w:p>
        </w:tc>
      </w:tr>
      <w:tr w14:paraId="7B6BC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0EE547DE">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136</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4C75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总氮配套试剂</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F2466">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 9850-总氮（定制-三种试剂）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57E4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SDL-B080302118</w:t>
            </w:r>
          </w:p>
        </w:tc>
      </w:tr>
      <w:tr w14:paraId="115C6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E031698">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137</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D27D2">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总氮配套试剂</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6994D">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 9850-总氮（定制-四种试剂）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E99D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SDL-B080302059</w:t>
            </w:r>
          </w:p>
        </w:tc>
      </w:tr>
      <w:tr w14:paraId="4A2DA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CB14E2F">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138</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72773">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总氮配套试剂</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3BCE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 9850-总氮（定制-五种试剂）</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62D9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SDL-B080302117</w:t>
            </w:r>
          </w:p>
        </w:tc>
      </w:tr>
      <w:tr w14:paraId="7C75F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4F25F3B1">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139</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43F0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氰化物配套试剂</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387B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 9860-氰化物</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5FF0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SDL-B080302084</w:t>
            </w:r>
          </w:p>
        </w:tc>
      </w:tr>
      <w:tr w14:paraId="7E56F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CB653A8">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140</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1A90C">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COD Mn配套试剂</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4563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 9811-COD Mn</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37F7F">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SDL-B080302072</w:t>
            </w:r>
          </w:p>
        </w:tc>
      </w:tr>
      <w:tr w14:paraId="1FD45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3661E10E">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141</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F5A1F">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生物毒性配套试剂</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67EA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MODEL 9880-生物毒性</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D747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SDL-A111100035</w:t>
            </w:r>
          </w:p>
        </w:tc>
      </w:tr>
      <w:tr w14:paraId="177FD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65D7D24">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142</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4730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PH电极</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EEBA6">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PH302，30米信号电缆</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1CC2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SDL-B023101005</w:t>
            </w:r>
          </w:p>
        </w:tc>
      </w:tr>
      <w:tr w14:paraId="53333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1B115115">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59AF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燃烧管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9AF7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Combustion tube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A79D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TOC-4200</w:t>
            </w:r>
          </w:p>
        </w:tc>
      </w:tr>
      <w:tr w14:paraId="62EE7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EC9BC95">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CB2D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白金催化剂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E376F">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Platinum catalyst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23703">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TOC-4200</w:t>
            </w:r>
          </w:p>
        </w:tc>
      </w:tr>
      <w:tr w14:paraId="7D52E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434F49FE">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3A15C">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O型圈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953A2">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O-ring,4DP10A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0125E">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TOC-4200</w:t>
            </w:r>
          </w:p>
        </w:tc>
      </w:tr>
      <w:tr w14:paraId="0D13A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4478E76E">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35356">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O型圈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64912">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O-ring,Teflon P10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BDD8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TOC-4200</w:t>
            </w:r>
          </w:p>
        </w:tc>
      </w:tr>
      <w:tr w14:paraId="6417A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6DA01DA8">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6A7C9">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O型圈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874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O-ring,AS568A-116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9690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TOC-4200</w:t>
            </w:r>
          </w:p>
        </w:tc>
      </w:tr>
      <w:tr w14:paraId="5AB09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1735AD0A">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CD5F3">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卤素过虑管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B04C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Halogen Scrubber</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2213F">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TOC-4200</w:t>
            </w:r>
          </w:p>
        </w:tc>
      </w:tr>
      <w:tr w14:paraId="25F5B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4C33D514">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A9E57">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CO2吸收器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049E2">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CO2  absorber</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A4E77">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TOC-4200</w:t>
            </w:r>
          </w:p>
        </w:tc>
      </w:tr>
      <w:tr w14:paraId="1875E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06BEBD85">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0D51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不绣钢网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673DE">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不绣钢网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01C8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TOC-4200</w:t>
            </w:r>
          </w:p>
        </w:tc>
      </w:tr>
      <w:tr w14:paraId="0C22D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080CC8D1">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9F739">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注射器尖端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AA1EE">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Plunger tip,5ml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94C7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TOC-4200</w:t>
            </w:r>
          </w:p>
        </w:tc>
      </w:tr>
      <w:tr w14:paraId="4E676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4F9FC5AA">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C3A73">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白金片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806CC">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白金片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1D58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TOC-4200</w:t>
            </w:r>
          </w:p>
        </w:tc>
      </w:tr>
      <w:tr w14:paraId="015D8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2E90E43">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F8AE9">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石英棉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2307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石英棉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E335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TOC-4200</w:t>
            </w:r>
          </w:p>
        </w:tc>
      </w:tr>
      <w:tr w14:paraId="44123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564F5A7D">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03D99">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柱塞头 5 mL 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8E58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石英棉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A69D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氨氮NHN-4210</w:t>
            </w:r>
          </w:p>
        </w:tc>
      </w:tr>
      <w:tr w14:paraId="4D629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72AF789">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08A4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搅拌泵头SR10/30N2.5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4C749">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石英棉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59A1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氨氮NHN-4210</w:t>
            </w:r>
          </w:p>
        </w:tc>
      </w:tr>
      <w:tr w14:paraId="42762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6BA5121C">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8859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预处理器泵软管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E14E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石英棉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9B7E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氨氮NHN-4210</w:t>
            </w:r>
          </w:p>
        </w:tc>
      </w:tr>
      <w:tr w14:paraId="34412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32B43DBE">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8EEF9">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SI软管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C2FE2">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石英棉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80E09">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氨氮NHN-4210</w:t>
            </w:r>
          </w:p>
        </w:tc>
      </w:tr>
      <w:tr w14:paraId="624AA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1CFE0B3D">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8D6A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过滤薄膜，MEMBRANE H-203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D64E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石英棉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E0F3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氨氮NHN-4210</w:t>
            </w:r>
          </w:p>
        </w:tc>
      </w:tr>
      <w:tr w14:paraId="54BFE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06EFA4B2">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159</w:t>
            </w:r>
          </w:p>
        </w:tc>
        <w:tc>
          <w:tcPr>
            <w:tcW w:w="2480" w:type="dxa"/>
            <w:tcBorders>
              <w:top w:val="single" w:color="000000" w:sz="4" w:space="0"/>
              <w:left w:val="single" w:color="000000" w:sz="4" w:space="0"/>
              <w:bottom w:val="single" w:color="000000" w:sz="4" w:space="0"/>
              <w:right w:val="single" w:color="000000" w:sz="4" w:space="0"/>
            </w:tcBorders>
            <w:shd w:val="clear" w:color="auto" w:fill="auto"/>
            <w:vAlign w:val="top"/>
          </w:tcPr>
          <w:p w14:paraId="750A9772">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水中油专用清洗剂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07BF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OILCLNRD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0F44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赛默飞水中油AP8XXXK+TSOIL510</w:t>
            </w:r>
          </w:p>
        </w:tc>
      </w:tr>
      <w:tr w14:paraId="72DCA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5406BD59">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FF4CC">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消解管上密封圈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DD40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ORION3150-TP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8355D">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赛默飞总磷3150TPNW</w:t>
            </w:r>
          </w:p>
        </w:tc>
      </w:tr>
      <w:tr w14:paraId="27FEC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71F08732">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6199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消解管下密封圈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E445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ORION3150-TP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989C2">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赛默飞总磷3150TPNW</w:t>
            </w:r>
          </w:p>
        </w:tc>
      </w:tr>
      <w:tr w14:paraId="1DED2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671695BA">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8EFC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氟管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EA0F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ORION3150-TP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6C193">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赛默飞总磷3150TPNW</w:t>
            </w:r>
          </w:p>
        </w:tc>
      </w:tr>
      <w:tr w14:paraId="0B123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7D76C463">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B6D1E">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蠕动泵管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6FF8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ORION3150-TP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4B12F">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赛默飞总磷3150TPNW</w:t>
            </w:r>
          </w:p>
        </w:tc>
      </w:tr>
      <w:tr w14:paraId="4E1C8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030E051">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ADC4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B22A9">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ORION3150-TP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76BE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赛默飞总磷3150TPNW</w:t>
            </w:r>
          </w:p>
        </w:tc>
      </w:tr>
      <w:tr w14:paraId="6E838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1A81BAA1">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6FBA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上下连接头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E497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ORION3150-TP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419E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赛默飞总磷3150TPNW</w:t>
            </w:r>
          </w:p>
        </w:tc>
      </w:tr>
      <w:tr w14:paraId="532E3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D05123F">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1AE0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总磷配套药剂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3F0C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依照说明书配制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9358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赛默飞总磷3150TPNW</w:t>
            </w:r>
          </w:p>
        </w:tc>
      </w:tr>
      <w:tr w14:paraId="6543C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522BE1D1">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9E879">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进样管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3B51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ORION3150-TN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5B2FD">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赛默飞总氮3150TPNW</w:t>
            </w:r>
          </w:p>
        </w:tc>
      </w:tr>
      <w:tr w14:paraId="55B0D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5E44D14D">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E0BF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固定弹簧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BD059">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ORION3150-TN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E049D">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赛默飞总氮3150TPNW</w:t>
            </w:r>
          </w:p>
        </w:tc>
      </w:tr>
      <w:tr w14:paraId="3740C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FFDF6D5">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01A8E">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加热线圈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7206C">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ORION3150-TN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BAA1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赛默飞总氮3150TPNW</w:t>
            </w:r>
          </w:p>
        </w:tc>
      </w:tr>
      <w:tr w14:paraId="51C05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4521C76C">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C248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蠕动泵管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C3AE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ORION3150-TN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3E13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赛默飞总氮3150TPNW</w:t>
            </w:r>
          </w:p>
        </w:tc>
      </w:tr>
      <w:tr w14:paraId="20CF7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18F13AFC">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A81D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消解管A密封圈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C1BFF">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ORION3150-TN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7C372">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赛默飞总氮3150TPNW</w:t>
            </w:r>
          </w:p>
        </w:tc>
      </w:tr>
      <w:tr w14:paraId="271C4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61474F34">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E0AC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消解管B密封圈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CA388">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ORION3150-TN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76F55">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赛默飞总氮3150TPNW</w:t>
            </w:r>
          </w:p>
        </w:tc>
      </w:tr>
      <w:tr w14:paraId="5C449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4EBA30AB">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5B742">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总氮配套药剂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882CD">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依照说明书配制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52D4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赛默飞总氮3150TPNW</w:t>
            </w:r>
          </w:p>
        </w:tc>
      </w:tr>
      <w:tr w14:paraId="7490D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6E36B0AC">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2FFD4">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PH电极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019AB">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UNI-20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D21AA">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普贝斯UNI-20</w:t>
            </w:r>
          </w:p>
        </w:tc>
      </w:tr>
      <w:tr w14:paraId="3F7F9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top"/>
          </w:tcPr>
          <w:p w14:paraId="24D10A5A">
            <w:pPr>
              <w:keepNext w:val="0"/>
              <w:keepLines w:val="0"/>
              <w:widowControl/>
              <w:suppressLineNumbers w:val="0"/>
              <w:spacing w:line="240" w:lineRule="auto"/>
              <w:jc w:val="left"/>
              <w:textAlignment w:val="top"/>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2380C">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PH校准药剂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D69E0">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PH=4.00：PH=6.86：PH=9.18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267E1">
            <w:pPr>
              <w:keepNext w:val="0"/>
              <w:keepLines w:val="0"/>
              <w:widowControl/>
              <w:suppressLineNumbers w:val="0"/>
              <w:spacing w:line="240" w:lineRule="auto"/>
              <w:jc w:val="left"/>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普贝斯UNI-20</w:t>
            </w:r>
          </w:p>
        </w:tc>
      </w:tr>
    </w:tbl>
    <w:p w14:paraId="4889A8D4">
      <w:pPr>
        <w:adjustRightInd w:val="0"/>
        <w:snapToGrid w:val="0"/>
        <w:spacing w:line="240" w:lineRule="auto"/>
        <w:rPr>
          <w:rFonts w:ascii="仿宋" w:hAnsi="仿宋" w:eastAsia="仿宋" w:cs="仿宋"/>
          <w:b/>
          <w:bCs/>
          <w:sz w:val="28"/>
          <w:szCs w:val="28"/>
        </w:rPr>
      </w:pPr>
    </w:p>
    <w:p w14:paraId="11925910">
      <w:pPr>
        <w:spacing w:before="240" w:after="60" w:line="240" w:lineRule="auto"/>
        <w:jc w:val="left"/>
        <w:outlineLvl w:val="1"/>
        <w:rPr>
          <w:rFonts w:ascii="等线 Light" w:hAnsi="等线 Light"/>
          <w:b/>
          <w:bCs/>
          <w:kern w:val="28"/>
          <w:sz w:val="32"/>
          <w:szCs w:val="32"/>
        </w:rPr>
      </w:pPr>
      <w:r>
        <w:rPr>
          <w:rFonts w:hint="eastAsia" w:ascii="等线 Light" w:hAnsi="等线 Light"/>
          <w:b/>
          <w:bCs/>
          <w:kern w:val="28"/>
          <w:sz w:val="32"/>
          <w:szCs w:val="32"/>
        </w:rPr>
        <w:t>附件</w:t>
      </w:r>
      <w:r>
        <w:rPr>
          <w:rFonts w:hint="eastAsia" w:ascii="等线 Light" w:hAnsi="等线 Light"/>
          <w:b/>
          <w:bCs/>
          <w:kern w:val="28"/>
          <w:sz w:val="32"/>
          <w:szCs w:val="32"/>
          <w:lang w:val="en-US" w:eastAsia="zh-CN"/>
        </w:rPr>
        <w:t>一</w:t>
      </w:r>
      <w:r>
        <w:rPr>
          <w:rFonts w:hint="eastAsia" w:ascii="等线 Light" w:hAnsi="等线 Light"/>
          <w:b/>
          <w:bCs/>
          <w:kern w:val="28"/>
          <w:sz w:val="32"/>
          <w:szCs w:val="32"/>
        </w:rPr>
        <w:t>：运维考核办法</w:t>
      </w:r>
    </w:p>
    <w:p w14:paraId="2ABECE58">
      <w:pPr>
        <w:spacing w:line="240" w:lineRule="auto"/>
        <w:contextualSpacing/>
        <w:rPr>
          <w:rFonts w:ascii="宋体" w:hAnsi="宋体" w:cs="宋体"/>
          <w:sz w:val="24"/>
          <w:szCs w:val="28"/>
        </w:rPr>
      </w:pPr>
      <w:r>
        <w:rPr>
          <w:rFonts w:hint="eastAsia" w:ascii="宋体" w:hAnsi="宋体" w:cs="宋体"/>
          <w:sz w:val="24"/>
          <w:szCs w:val="28"/>
        </w:rPr>
        <w:t xml:space="preserve"> (一)考核指标要求</w:t>
      </w:r>
    </w:p>
    <w:p w14:paraId="5706C8BA">
      <w:pPr>
        <w:spacing w:line="240" w:lineRule="auto"/>
        <w:contextualSpacing/>
        <w:rPr>
          <w:rFonts w:ascii="宋体" w:hAnsi="宋体" w:cs="宋体"/>
          <w:sz w:val="24"/>
          <w:szCs w:val="28"/>
        </w:rPr>
      </w:pPr>
      <w:r>
        <w:rPr>
          <w:rFonts w:hint="eastAsia" w:ascii="宋体" w:hAnsi="宋体" w:cs="宋体"/>
          <w:sz w:val="24"/>
          <w:szCs w:val="28"/>
        </w:rPr>
        <w:t>1、自动监控数据传输有效率达到9</w:t>
      </w:r>
      <w:r>
        <w:rPr>
          <w:rFonts w:ascii="宋体" w:hAnsi="宋体" w:cs="宋体"/>
          <w:sz w:val="24"/>
          <w:szCs w:val="28"/>
        </w:rPr>
        <w:t>8</w:t>
      </w:r>
      <w:r>
        <w:rPr>
          <w:rFonts w:hint="eastAsia" w:ascii="宋体" w:hAnsi="宋体" w:cs="宋体"/>
          <w:sz w:val="24"/>
          <w:szCs w:val="28"/>
        </w:rPr>
        <w:t>%及以上；</w:t>
      </w:r>
    </w:p>
    <w:p w14:paraId="6AAC0630">
      <w:pPr>
        <w:spacing w:line="240" w:lineRule="auto"/>
        <w:contextualSpacing/>
        <w:rPr>
          <w:rFonts w:ascii="宋体" w:hAnsi="宋体" w:cs="宋体"/>
          <w:sz w:val="24"/>
          <w:szCs w:val="28"/>
        </w:rPr>
      </w:pPr>
      <w:r>
        <w:rPr>
          <w:rFonts w:hint="eastAsia" w:ascii="宋体" w:hAnsi="宋体" w:cs="宋体"/>
          <w:sz w:val="24"/>
          <w:szCs w:val="28"/>
          <w:lang w:val="en-US" w:eastAsia="zh-CN"/>
        </w:rPr>
        <w:t>2</w:t>
      </w:r>
      <w:r>
        <w:rPr>
          <w:rFonts w:hint="eastAsia" w:ascii="宋体" w:hAnsi="宋体" w:cs="宋体"/>
          <w:sz w:val="24"/>
          <w:szCs w:val="28"/>
        </w:rPr>
        <w:t>、其他考核指标不低于省政府或省生态环境厅下达的主要污染物总量减排相关考核办法涉及的相关指标的考核要求；</w:t>
      </w:r>
    </w:p>
    <w:p w14:paraId="24FC34DA">
      <w:pPr>
        <w:spacing w:line="240" w:lineRule="auto"/>
        <w:contextualSpacing/>
        <w:rPr>
          <w:rFonts w:ascii="宋体" w:hAnsi="宋体" w:cs="宋体"/>
          <w:sz w:val="24"/>
          <w:szCs w:val="28"/>
        </w:rPr>
      </w:pPr>
      <w:r>
        <w:rPr>
          <w:rFonts w:hint="eastAsia" w:ascii="宋体" w:hAnsi="宋体" w:cs="宋体"/>
          <w:sz w:val="24"/>
          <w:szCs w:val="28"/>
          <w:lang w:val="en-US" w:eastAsia="zh-CN"/>
        </w:rPr>
        <w:t>3</w:t>
      </w:r>
      <w:r>
        <w:rPr>
          <w:rFonts w:hint="eastAsia" w:ascii="宋体" w:hAnsi="宋体" w:cs="宋体"/>
          <w:sz w:val="24"/>
          <w:szCs w:val="28"/>
        </w:rPr>
        <w:t>、其他指标要求符合但不限于《水污染源在线监测系统（CODcr、NH3-N等）运行技术规范》(HJ355-2019)</w:t>
      </w:r>
      <w:r>
        <w:rPr>
          <w:rFonts w:ascii="宋体" w:hAnsi="宋体" w:cs="宋体"/>
          <w:sz w:val="24"/>
          <w:szCs w:val="28"/>
        </w:rPr>
        <w:t>,</w:t>
      </w:r>
      <w:r>
        <w:rPr>
          <w:rFonts w:hint="eastAsia" w:ascii="宋体" w:hAnsi="宋体" w:cs="宋体"/>
          <w:sz w:val="24"/>
          <w:szCs w:val="28"/>
        </w:rPr>
        <w:t>《固定污染源烟气（SO2、NOx、颗粒物）排放连续监测技术规范》（HJ75-2017）中的有关要求。</w:t>
      </w:r>
    </w:p>
    <w:p w14:paraId="3985D848">
      <w:pPr>
        <w:spacing w:line="240" w:lineRule="auto"/>
        <w:contextualSpacing/>
        <w:rPr>
          <w:rFonts w:ascii="宋体" w:hAnsi="宋体" w:cs="宋体"/>
          <w:sz w:val="24"/>
          <w:szCs w:val="28"/>
        </w:rPr>
      </w:pPr>
      <w:r>
        <w:rPr>
          <w:rFonts w:hint="eastAsia" w:ascii="宋体" w:hAnsi="宋体" w:cs="宋体"/>
          <w:sz w:val="24"/>
          <w:szCs w:val="28"/>
        </w:rPr>
        <w:t>（二）考核办法</w:t>
      </w:r>
    </w:p>
    <w:p w14:paraId="00AC39AA">
      <w:pPr>
        <w:spacing w:line="240" w:lineRule="auto"/>
        <w:contextualSpacing/>
        <w:rPr>
          <w:rFonts w:ascii="宋体" w:hAnsi="宋体" w:cs="宋体"/>
          <w:sz w:val="24"/>
          <w:szCs w:val="28"/>
        </w:rPr>
      </w:pPr>
      <w:r>
        <w:rPr>
          <w:rFonts w:hint="eastAsia" w:ascii="宋体" w:hAnsi="宋体" w:cs="宋体"/>
          <w:sz w:val="24"/>
          <w:szCs w:val="28"/>
        </w:rPr>
        <w:t>1、</w:t>
      </w:r>
      <w:r>
        <w:rPr>
          <w:rFonts w:hint="eastAsia" w:ascii="宋体" w:hAnsi="宋体" w:cs="宋体"/>
          <w:sz w:val="24"/>
          <w:szCs w:val="28"/>
          <w:lang w:val="en-US" w:eastAsia="zh-CN"/>
        </w:rPr>
        <w:t>国发平台有效</w:t>
      </w:r>
      <w:r>
        <w:rPr>
          <w:rFonts w:hint="eastAsia" w:ascii="宋体" w:hAnsi="宋体" w:cs="宋体"/>
          <w:sz w:val="24"/>
          <w:szCs w:val="28"/>
        </w:rPr>
        <w:t>传输有效率低于9</w:t>
      </w:r>
      <w:r>
        <w:rPr>
          <w:rFonts w:ascii="宋体" w:hAnsi="宋体" w:cs="宋体"/>
          <w:sz w:val="24"/>
          <w:szCs w:val="28"/>
        </w:rPr>
        <w:t>8</w:t>
      </w:r>
      <w:r>
        <w:rPr>
          <w:rFonts w:hint="eastAsia" w:ascii="宋体" w:hAnsi="宋体" w:cs="宋体"/>
          <w:sz w:val="24"/>
          <w:szCs w:val="28"/>
        </w:rPr>
        <w:t>%的，扣</w:t>
      </w:r>
      <w:r>
        <w:rPr>
          <w:rFonts w:ascii="宋体" w:hAnsi="宋体" w:cs="宋体"/>
          <w:sz w:val="24"/>
          <w:szCs w:val="28"/>
        </w:rPr>
        <w:t>1000</w:t>
      </w:r>
      <w:r>
        <w:rPr>
          <w:rFonts w:hint="eastAsia" w:ascii="宋体" w:hAnsi="宋体" w:cs="宋体"/>
          <w:sz w:val="24"/>
          <w:szCs w:val="28"/>
        </w:rPr>
        <w:t>元</w:t>
      </w:r>
      <w:r>
        <w:rPr>
          <w:rFonts w:hint="eastAsia" w:ascii="宋体" w:hAnsi="宋体" w:cs="宋体"/>
          <w:sz w:val="24"/>
          <w:szCs w:val="28"/>
          <w:lang w:val="en-US" w:eastAsia="zh-CN"/>
        </w:rPr>
        <w:t>/月/套</w:t>
      </w:r>
      <w:r>
        <w:rPr>
          <w:rFonts w:hint="eastAsia" w:ascii="宋体" w:hAnsi="宋体" w:cs="宋体"/>
          <w:sz w:val="24"/>
          <w:szCs w:val="28"/>
        </w:rPr>
        <w:t>。</w:t>
      </w:r>
    </w:p>
    <w:p w14:paraId="58B94A33">
      <w:pPr>
        <w:spacing w:line="240" w:lineRule="auto"/>
        <w:contextualSpacing/>
        <w:rPr>
          <w:rFonts w:ascii="宋体" w:hAnsi="宋体" w:cs="宋体"/>
          <w:sz w:val="24"/>
          <w:szCs w:val="28"/>
        </w:rPr>
      </w:pPr>
      <w:r>
        <w:rPr>
          <w:rFonts w:ascii="宋体" w:hAnsi="宋体" w:cs="宋体"/>
          <w:sz w:val="24"/>
          <w:szCs w:val="28"/>
        </w:rPr>
        <w:t>3</w:t>
      </w:r>
      <w:r>
        <w:rPr>
          <w:rFonts w:hint="eastAsia" w:ascii="宋体" w:hAnsi="宋体" w:cs="宋体"/>
          <w:sz w:val="24"/>
          <w:szCs w:val="28"/>
        </w:rPr>
        <w:t>、列入本次运营的所有设备</w:t>
      </w:r>
      <w:r>
        <w:rPr>
          <w:rFonts w:hint="eastAsia" w:ascii="宋体" w:hAnsi="宋体" w:cs="宋体"/>
          <w:sz w:val="24"/>
          <w:szCs w:val="28"/>
          <w:lang w:val="en-US" w:eastAsia="zh-CN"/>
        </w:rPr>
        <w:t>月</w:t>
      </w:r>
      <w:r>
        <w:rPr>
          <w:rFonts w:hint="eastAsia" w:ascii="宋体" w:hAnsi="宋体" w:cs="宋体"/>
          <w:sz w:val="24"/>
          <w:szCs w:val="28"/>
        </w:rPr>
        <w:t>平均监控数据有效传输率一年中有两次低于</w:t>
      </w:r>
      <w:r>
        <w:rPr>
          <w:rFonts w:hint="eastAsia" w:ascii="宋体" w:hAnsi="宋体" w:cs="宋体"/>
          <w:sz w:val="24"/>
          <w:szCs w:val="28"/>
          <w:lang w:val="en-US" w:eastAsia="zh-CN"/>
        </w:rPr>
        <w:t>80</w:t>
      </w:r>
      <w:r>
        <w:rPr>
          <w:rFonts w:hint="eastAsia" w:ascii="宋体" w:hAnsi="宋体" w:cs="宋体"/>
          <w:sz w:val="24"/>
          <w:szCs w:val="28"/>
        </w:rPr>
        <w:t>%的，取消运维合同。</w:t>
      </w:r>
    </w:p>
    <w:p w14:paraId="416EA920">
      <w:pPr>
        <w:spacing w:line="240" w:lineRule="auto"/>
        <w:contextualSpacing/>
        <w:rPr>
          <w:rFonts w:ascii="宋体" w:hAnsi="宋体" w:cs="宋体"/>
          <w:sz w:val="24"/>
          <w:szCs w:val="28"/>
        </w:rPr>
      </w:pPr>
      <w:r>
        <w:rPr>
          <w:rFonts w:ascii="宋体" w:hAnsi="宋体" w:cs="宋体"/>
          <w:sz w:val="24"/>
          <w:szCs w:val="28"/>
        </w:rPr>
        <w:t>4</w:t>
      </w:r>
      <w:r>
        <w:rPr>
          <w:rFonts w:hint="eastAsia" w:ascii="宋体" w:hAnsi="宋体" w:cs="宋体"/>
          <w:sz w:val="24"/>
          <w:szCs w:val="28"/>
        </w:rPr>
        <w:t>、其他达不到省政府或省生态环境厅下达的相关考核办法中考核指标要求的，所相对应的设备每月每套扣1000元；乙方的运营对象在线设备运行情况被环保部门通报批评的每家每次扣1</w:t>
      </w:r>
      <w:r>
        <w:rPr>
          <w:rFonts w:hint="eastAsia" w:ascii="宋体" w:hAnsi="宋体" w:cs="宋体"/>
          <w:sz w:val="24"/>
          <w:szCs w:val="28"/>
          <w:lang w:val="en-US" w:eastAsia="zh-CN"/>
        </w:rPr>
        <w:t>0</w:t>
      </w:r>
      <w:r>
        <w:rPr>
          <w:rFonts w:hint="eastAsia" w:ascii="宋体" w:hAnsi="宋体" w:cs="宋体"/>
          <w:sz w:val="24"/>
          <w:szCs w:val="28"/>
        </w:rPr>
        <w:t>000元；与设备运维相关内容被省环保厅年度考核扣分的每家每项扣</w:t>
      </w:r>
      <w:r>
        <w:rPr>
          <w:rFonts w:hint="eastAsia" w:ascii="宋体" w:hAnsi="宋体" w:cs="宋体"/>
          <w:sz w:val="24"/>
          <w:szCs w:val="28"/>
          <w:lang w:val="en-US" w:eastAsia="zh-CN"/>
        </w:rPr>
        <w:t>5</w:t>
      </w:r>
      <w:r>
        <w:rPr>
          <w:rFonts w:hint="eastAsia" w:ascii="宋体" w:hAnsi="宋体" w:cs="宋体"/>
          <w:sz w:val="24"/>
          <w:szCs w:val="28"/>
        </w:rPr>
        <w:t>00</w:t>
      </w:r>
      <w:r>
        <w:rPr>
          <w:rFonts w:hint="eastAsia" w:ascii="宋体" w:hAnsi="宋体" w:cs="宋体"/>
          <w:sz w:val="24"/>
          <w:szCs w:val="28"/>
          <w:lang w:val="en-US" w:eastAsia="zh-CN"/>
        </w:rPr>
        <w:t>0</w:t>
      </w:r>
      <w:r>
        <w:rPr>
          <w:rFonts w:hint="eastAsia" w:ascii="宋体" w:hAnsi="宋体" w:cs="宋体"/>
          <w:sz w:val="24"/>
          <w:szCs w:val="28"/>
        </w:rPr>
        <w:t>元。</w:t>
      </w:r>
    </w:p>
    <w:p w14:paraId="42C6CAE2">
      <w:pPr>
        <w:spacing w:line="240" w:lineRule="auto"/>
        <w:contextualSpacing/>
        <w:rPr>
          <w:rFonts w:ascii="宋体" w:hAnsi="宋体" w:cs="宋体"/>
          <w:sz w:val="24"/>
          <w:szCs w:val="28"/>
        </w:rPr>
      </w:pPr>
      <w:r>
        <w:rPr>
          <w:rFonts w:ascii="宋体" w:hAnsi="宋体" w:cs="宋体"/>
          <w:sz w:val="24"/>
          <w:szCs w:val="28"/>
        </w:rPr>
        <w:t>5</w:t>
      </w:r>
      <w:r>
        <w:rPr>
          <w:rFonts w:hint="eastAsia" w:ascii="宋体" w:hAnsi="宋体" w:cs="宋体"/>
          <w:sz w:val="24"/>
          <w:szCs w:val="28"/>
        </w:rPr>
        <w:t>、日常巡查要求：被环保部门</w:t>
      </w:r>
      <w:r>
        <w:rPr>
          <w:rFonts w:hint="eastAsia" w:ascii="宋体" w:hAnsi="宋体" w:cs="宋体"/>
          <w:sz w:val="24"/>
          <w:szCs w:val="28"/>
          <w:lang w:val="en-US" w:eastAsia="zh-CN"/>
        </w:rPr>
        <w:t>或集团公司</w:t>
      </w:r>
      <w:r>
        <w:rPr>
          <w:rFonts w:hint="eastAsia" w:ascii="宋体" w:hAnsi="宋体" w:cs="宋体"/>
          <w:sz w:val="24"/>
          <w:szCs w:val="28"/>
        </w:rPr>
        <w:t>现场检查发现未定期或者未按照规范校准、校验仪器，每套设备未按期或者不符合规范一次扣2</w:t>
      </w:r>
      <w:r>
        <w:rPr>
          <w:rFonts w:hint="eastAsia" w:ascii="宋体" w:hAnsi="宋体" w:cs="宋体"/>
          <w:sz w:val="24"/>
          <w:szCs w:val="28"/>
          <w:lang w:val="en-US" w:eastAsia="zh-CN"/>
        </w:rPr>
        <w:t>0</w:t>
      </w:r>
      <w:r>
        <w:rPr>
          <w:rFonts w:hint="eastAsia" w:ascii="宋体" w:hAnsi="宋体" w:cs="宋体"/>
          <w:sz w:val="24"/>
          <w:szCs w:val="28"/>
        </w:rPr>
        <w:t>00元：试剂/标气过期一种每次扣</w:t>
      </w:r>
      <w:r>
        <w:rPr>
          <w:rFonts w:hint="eastAsia" w:ascii="宋体" w:hAnsi="宋体" w:cs="宋体"/>
          <w:sz w:val="24"/>
          <w:szCs w:val="28"/>
          <w:lang w:val="en-US" w:eastAsia="zh-CN"/>
        </w:rPr>
        <w:t>10</w:t>
      </w:r>
      <w:r>
        <w:rPr>
          <w:rFonts w:hint="eastAsia" w:ascii="宋体" w:hAnsi="宋体" w:cs="宋体"/>
          <w:sz w:val="24"/>
          <w:szCs w:val="28"/>
        </w:rPr>
        <w:t>00元；</w:t>
      </w:r>
      <w:r>
        <w:rPr>
          <w:rFonts w:hint="eastAsia" w:ascii="宋体" w:hAnsi="宋体" w:cs="宋体"/>
          <w:sz w:val="24"/>
          <w:szCs w:val="28"/>
          <w:lang w:val="en-US" w:eastAsia="zh-CN"/>
        </w:rPr>
        <w:t>其他由于运维单位工作不到位导致的问题</w:t>
      </w:r>
      <w:r>
        <w:rPr>
          <w:rFonts w:hint="eastAsia" w:ascii="宋体" w:hAnsi="宋体" w:cs="宋体"/>
          <w:sz w:val="24"/>
          <w:szCs w:val="28"/>
        </w:rPr>
        <w:t>，每次扣</w:t>
      </w:r>
      <w:r>
        <w:rPr>
          <w:rFonts w:hint="eastAsia" w:ascii="宋体" w:hAnsi="宋体" w:cs="宋体"/>
          <w:sz w:val="24"/>
          <w:szCs w:val="28"/>
          <w:lang w:val="en-US" w:eastAsia="zh-CN"/>
        </w:rPr>
        <w:t>10</w:t>
      </w:r>
      <w:r>
        <w:rPr>
          <w:rFonts w:hint="eastAsia" w:ascii="宋体" w:hAnsi="宋体" w:cs="宋体"/>
          <w:sz w:val="24"/>
          <w:szCs w:val="28"/>
        </w:rPr>
        <w:t>00元。</w:t>
      </w:r>
    </w:p>
    <w:p w14:paraId="64A6B5C9">
      <w:pPr>
        <w:spacing w:line="240" w:lineRule="auto"/>
        <w:contextualSpacing/>
        <w:rPr>
          <w:rFonts w:ascii="宋体" w:hAnsi="宋体" w:cs="宋体"/>
          <w:sz w:val="24"/>
          <w:szCs w:val="28"/>
        </w:rPr>
      </w:pPr>
      <w:r>
        <w:rPr>
          <w:rFonts w:ascii="宋体" w:hAnsi="宋体" w:cs="宋体"/>
          <w:sz w:val="24"/>
          <w:szCs w:val="28"/>
        </w:rPr>
        <w:t>6</w:t>
      </w:r>
      <w:r>
        <w:rPr>
          <w:rFonts w:hint="eastAsia" w:ascii="宋体" w:hAnsi="宋体" w:cs="宋体"/>
          <w:sz w:val="24"/>
          <w:szCs w:val="28"/>
        </w:rPr>
        <w:t>、技术档案要求：乙方应做好技术档案，完善日常管理制度。被环保部门现场检查发现巡查记录不完善；没有巡查记录、仪器设备检修、易耗品定期更换记录、药剂更换记录、废液移交记录、故障报备材料的，每项目每次扣</w:t>
      </w:r>
      <w:r>
        <w:rPr>
          <w:rFonts w:hint="eastAsia" w:ascii="宋体" w:hAnsi="宋体" w:cs="宋体"/>
          <w:sz w:val="24"/>
          <w:szCs w:val="28"/>
          <w:lang w:val="en-US" w:eastAsia="zh-CN"/>
        </w:rPr>
        <w:t>20</w:t>
      </w:r>
      <w:r>
        <w:rPr>
          <w:rFonts w:hint="eastAsia" w:ascii="宋体" w:hAnsi="宋体" w:cs="宋体"/>
          <w:sz w:val="24"/>
          <w:szCs w:val="28"/>
        </w:rPr>
        <w:t>00元；管理制度（现场运营管理制度、岗位责任制度、设施运营操作规程、监测仪器设备的日常管理和维护制度、监督检查制度、突发性事故处理及报告制度、文件资料管理制度）在合同生效起3</w:t>
      </w:r>
      <w:r>
        <w:rPr>
          <w:rFonts w:ascii="宋体" w:hAnsi="宋体" w:cs="宋体"/>
          <w:sz w:val="24"/>
          <w:szCs w:val="28"/>
        </w:rPr>
        <w:t>0</w:t>
      </w:r>
      <w:r>
        <w:rPr>
          <w:rFonts w:hint="eastAsia" w:ascii="宋体" w:hAnsi="宋体" w:cs="宋体"/>
          <w:sz w:val="24"/>
          <w:szCs w:val="28"/>
        </w:rPr>
        <w:t>天内未上墙的，扣</w:t>
      </w:r>
      <w:r>
        <w:rPr>
          <w:rFonts w:hint="eastAsia" w:ascii="宋体" w:hAnsi="宋体" w:cs="宋体"/>
          <w:sz w:val="24"/>
          <w:szCs w:val="28"/>
          <w:lang w:val="en-US" w:eastAsia="zh-CN"/>
        </w:rPr>
        <w:t>10</w:t>
      </w:r>
      <w:r>
        <w:rPr>
          <w:rFonts w:hint="eastAsia" w:ascii="宋体" w:hAnsi="宋体" w:cs="宋体"/>
          <w:sz w:val="24"/>
          <w:szCs w:val="28"/>
        </w:rPr>
        <w:t>00元。</w:t>
      </w:r>
    </w:p>
    <w:p w14:paraId="0B383D19">
      <w:pPr>
        <w:spacing w:line="240" w:lineRule="auto"/>
        <w:contextualSpacing/>
        <w:rPr>
          <w:rFonts w:ascii="宋体" w:hAnsi="宋体" w:cs="宋体"/>
          <w:sz w:val="24"/>
          <w:szCs w:val="28"/>
        </w:rPr>
      </w:pPr>
      <w:r>
        <w:rPr>
          <w:rFonts w:ascii="宋体" w:hAnsi="宋体" w:cs="宋体"/>
          <w:sz w:val="24"/>
          <w:szCs w:val="28"/>
        </w:rPr>
        <w:t>7</w:t>
      </w:r>
      <w:r>
        <w:rPr>
          <w:rFonts w:hint="eastAsia" w:ascii="宋体" w:hAnsi="宋体" w:cs="宋体"/>
          <w:sz w:val="24"/>
          <w:szCs w:val="28"/>
        </w:rPr>
        <w:t>、应急响应维修：</w:t>
      </w:r>
      <w:r>
        <w:rPr>
          <w:rFonts w:ascii="宋体" w:hAnsi="宋体"/>
          <w:sz w:val="24"/>
          <w:szCs w:val="24"/>
        </w:rPr>
        <w:t>中标方</w:t>
      </w:r>
      <w:r>
        <w:rPr>
          <w:rFonts w:hint="eastAsia" w:ascii="宋体" w:hAnsi="宋体"/>
          <w:sz w:val="24"/>
          <w:szCs w:val="24"/>
        </w:rPr>
        <w:t>在得到招标方通知后必须要2小时内响应，</w:t>
      </w:r>
      <w:r>
        <w:rPr>
          <w:rFonts w:hint="eastAsia" w:ascii="宋体" w:hAnsi="宋体" w:cs="宋体"/>
          <w:sz w:val="24"/>
          <w:szCs w:val="28"/>
        </w:rPr>
        <w:t>一般故障12小时内修复；对不易诊断或维修的仪器故障，72小时内修复。在线监测设备故障超过3天的，</w:t>
      </w:r>
      <w:r>
        <w:rPr>
          <w:rFonts w:hint="eastAsia" w:ascii="宋体" w:hAnsi="宋体"/>
          <w:sz w:val="24"/>
          <w:szCs w:val="24"/>
        </w:rPr>
        <w:t>中标方需提供备用设备，确保招标方在线自动监测设备数据传输。</w:t>
      </w:r>
      <w:r>
        <w:rPr>
          <w:rFonts w:hint="eastAsia" w:ascii="宋体" w:hAnsi="宋体" w:cs="宋体"/>
          <w:sz w:val="24"/>
          <w:szCs w:val="28"/>
        </w:rPr>
        <w:t>未在3天内处理省厅平台上监控异常询问（整改）通知单的，每套次扣</w:t>
      </w:r>
      <w:r>
        <w:rPr>
          <w:rFonts w:hint="eastAsia" w:ascii="宋体" w:hAnsi="宋体" w:cs="宋体"/>
          <w:sz w:val="24"/>
          <w:szCs w:val="28"/>
          <w:lang w:val="en-US" w:eastAsia="zh-CN"/>
        </w:rPr>
        <w:t>5</w:t>
      </w:r>
      <w:r>
        <w:rPr>
          <w:rFonts w:hint="eastAsia" w:ascii="宋体" w:hAnsi="宋体" w:cs="宋体"/>
          <w:sz w:val="24"/>
          <w:szCs w:val="28"/>
        </w:rPr>
        <w:t>00元；无正当理由，不及时采取措施，在规定的修复时限内恢复自动监控设备正常运行的，每套次扣</w:t>
      </w:r>
      <w:r>
        <w:rPr>
          <w:rFonts w:hint="eastAsia" w:ascii="宋体" w:hAnsi="宋体" w:cs="宋体"/>
          <w:sz w:val="24"/>
          <w:szCs w:val="28"/>
          <w:lang w:val="en-US" w:eastAsia="zh-CN"/>
        </w:rPr>
        <w:t>20</w:t>
      </w:r>
      <w:r>
        <w:rPr>
          <w:rFonts w:ascii="宋体" w:hAnsi="宋体" w:cs="宋体"/>
          <w:sz w:val="24"/>
          <w:szCs w:val="28"/>
        </w:rPr>
        <w:t>00</w:t>
      </w:r>
      <w:r>
        <w:rPr>
          <w:rFonts w:hint="eastAsia" w:ascii="宋体" w:hAnsi="宋体" w:cs="宋体"/>
          <w:sz w:val="24"/>
          <w:szCs w:val="28"/>
        </w:rPr>
        <w:t>元；在设备故障期间，未按要求进行省厅平台报备的，每次扣</w:t>
      </w:r>
      <w:r>
        <w:rPr>
          <w:rFonts w:hint="eastAsia" w:ascii="宋体" w:hAnsi="宋体" w:cs="宋体"/>
          <w:sz w:val="24"/>
          <w:szCs w:val="28"/>
          <w:lang w:val="en-US" w:eastAsia="zh-CN"/>
        </w:rPr>
        <w:t>10</w:t>
      </w:r>
      <w:r>
        <w:rPr>
          <w:rFonts w:hint="eastAsia" w:ascii="宋体" w:hAnsi="宋体" w:cs="宋体"/>
          <w:sz w:val="24"/>
          <w:szCs w:val="28"/>
        </w:rPr>
        <w:t>00元。</w:t>
      </w:r>
    </w:p>
    <w:p w14:paraId="20D0A115">
      <w:pPr>
        <w:spacing w:line="240" w:lineRule="auto"/>
        <w:contextualSpacing/>
        <w:rPr>
          <w:rFonts w:ascii="宋体" w:hAnsi="宋体" w:cs="宋体"/>
          <w:sz w:val="24"/>
          <w:szCs w:val="28"/>
        </w:rPr>
      </w:pPr>
      <w:r>
        <w:rPr>
          <w:rFonts w:ascii="宋体" w:hAnsi="宋体" w:cs="宋体"/>
          <w:sz w:val="24"/>
          <w:szCs w:val="28"/>
        </w:rPr>
        <w:t>8</w:t>
      </w:r>
      <w:r>
        <w:rPr>
          <w:rFonts w:hint="eastAsia" w:ascii="宋体" w:hAnsi="宋体" w:cs="宋体"/>
          <w:sz w:val="24"/>
          <w:szCs w:val="28"/>
        </w:rPr>
        <w:t>、数据质量要求</w:t>
      </w:r>
    </w:p>
    <w:p w14:paraId="207D6600">
      <w:pPr>
        <w:spacing w:line="240" w:lineRule="auto"/>
        <w:contextualSpacing/>
        <w:rPr>
          <w:rFonts w:ascii="宋体" w:hAnsi="宋体" w:cs="宋体"/>
          <w:sz w:val="24"/>
          <w:szCs w:val="28"/>
        </w:rPr>
      </w:pPr>
      <w:r>
        <w:rPr>
          <w:rFonts w:ascii="宋体" w:hAnsi="宋体" w:cs="宋体"/>
          <w:sz w:val="24"/>
          <w:szCs w:val="28"/>
        </w:rPr>
        <w:t>8</w:t>
      </w:r>
      <w:r>
        <w:rPr>
          <w:rFonts w:hint="eastAsia" w:ascii="宋体" w:hAnsi="宋体" w:cs="宋体"/>
          <w:sz w:val="24"/>
          <w:szCs w:val="28"/>
        </w:rPr>
        <w:t>.1 平台上数据与设备上数据不符的，每台设备每次扣</w:t>
      </w:r>
      <w:r>
        <w:rPr>
          <w:rFonts w:hint="eastAsia" w:ascii="宋体" w:hAnsi="宋体" w:cs="宋体"/>
          <w:sz w:val="24"/>
          <w:szCs w:val="28"/>
          <w:lang w:val="en-US" w:eastAsia="zh-CN"/>
        </w:rPr>
        <w:t>5</w:t>
      </w:r>
      <w:r>
        <w:rPr>
          <w:rFonts w:hint="eastAsia" w:ascii="宋体" w:hAnsi="宋体" w:cs="宋体"/>
          <w:sz w:val="24"/>
          <w:szCs w:val="28"/>
        </w:rPr>
        <w:t>00元。若因此原因导致企业超标被环保部通报的，每台设备扣2000元。</w:t>
      </w:r>
    </w:p>
    <w:p w14:paraId="2FBBBFF2">
      <w:pPr>
        <w:spacing w:line="240" w:lineRule="auto"/>
        <w:contextualSpacing/>
        <w:rPr>
          <w:rFonts w:ascii="宋体" w:hAnsi="宋体" w:cs="宋体"/>
          <w:sz w:val="24"/>
          <w:szCs w:val="28"/>
        </w:rPr>
      </w:pPr>
      <w:r>
        <w:rPr>
          <w:rFonts w:ascii="宋体" w:hAnsi="宋体" w:cs="宋体"/>
          <w:sz w:val="24"/>
          <w:szCs w:val="28"/>
        </w:rPr>
        <w:t>8</w:t>
      </w:r>
      <w:r>
        <w:rPr>
          <w:rFonts w:hint="eastAsia" w:ascii="宋体" w:hAnsi="宋体" w:cs="宋体"/>
          <w:sz w:val="24"/>
          <w:szCs w:val="28"/>
        </w:rPr>
        <w:t>.2 同一个季度自动监控设备未通过环境监测部门监督性比对的，每套次扣1000元。经整改后，第二次未通过环境监测部门监督性比对的，每套次再扣3000元。两次未通过环境监测部门监督性比对的，取消运维合同。</w:t>
      </w:r>
    </w:p>
    <w:p w14:paraId="41A66FC1">
      <w:pPr>
        <w:spacing w:line="240" w:lineRule="auto"/>
        <w:contextualSpacing/>
        <w:rPr>
          <w:rFonts w:ascii="宋体" w:hAnsi="宋体" w:cs="宋体"/>
          <w:sz w:val="24"/>
          <w:szCs w:val="28"/>
        </w:rPr>
      </w:pPr>
      <w:r>
        <w:rPr>
          <w:rFonts w:ascii="宋体" w:hAnsi="宋体" w:cs="宋体"/>
          <w:sz w:val="24"/>
          <w:szCs w:val="28"/>
        </w:rPr>
        <w:t>8</w:t>
      </w:r>
      <w:r>
        <w:rPr>
          <w:rFonts w:hint="eastAsia" w:ascii="宋体" w:hAnsi="宋体" w:cs="宋体"/>
          <w:sz w:val="24"/>
          <w:szCs w:val="28"/>
        </w:rPr>
        <w:t>.3乙方被环保部门通报在线监控数据弄虚作假的扣10000元并取消运维合同。</w:t>
      </w:r>
    </w:p>
    <w:p w14:paraId="5D3BDD0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522EE"/>
    <w:multiLevelType w:val="singleLevel"/>
    <w:tmpl w:val="80C522EE"/>
    <w:lvl w:ilvl="0" w:tentative="0">
      <w:start w:val="1"/>
      <w:numFmt w:val="decimalEnclosedCircleChinese"/>
      <w:suff w:val="nothing"/>
      <w:lvlText w:val="%1　"/>
      <w:lvlJc w:val="left"/>
      <w:pPr>
        <w:ind w:left="0" w:firstLine="4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FiNTIyNzY5OWRjNzAyZmMwMTk4YmM1ZmYzNGZjODMifQ=="/>
  </w:docVars>
  <w:rsids>
    <w:rsidRoot w:val="06353982"/>
    <w:rsid w:val="06353982"/>
    <w:rsid w:val="13DB7040"/>
    <w:rsid w:val="1A18350B"/>
    <w:rsid w:val="1BC7127D"/>
    <w:rsid w:val="21253601"/>
    <w:rsid w:val="23F50715"/>
    <w:rsid w:val="24E522A7"/>
    <w:rsid w:val="294D584C"/>
    <w:rsid w:val="3C70506D"/>
    <w:rsid w:val="46301209"/>
    <w:rsid w:val="4AD95DCB"/>
    <w:rsid w:val="4F2E6192"/>
    <w:rsid w:val="5A5A759F"/>
    <w:rsid w:val="72E361DD"/>
    <w:rsid w:val="7A5164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eastAsia="宋体" w:cs="Courier New"/>
      <w:kern w:val="2"/>
      <w:sz w:val="21"/>
      <w:szCs w:val="21"/>
      <w:lang w:val="en-US" w:eastAsia="zh-CN" w:bidi="ar-SA"/>
    </w:rPr>
  </w:style>
  <w:style w:type="table" w:styleId="4">
    <w:name w:val="Table Grid"/>
    <w:basedOn w:val="3"/>
    <w:qFormat/>
    <w:uiPriority w:val="0"/>
    <w:rPr>
      <w:rFonts w:ascii="Calibri" w:hAnsi="Calibri" w:eastAsia="宋体" w:cs="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yperlink"/>
    <w:basedOn w:val="5"/>
    <w:qFormat/>
    <w:uiPriority w:val="0"/>
    <w:rPr>
      <w:color w:val="296FBE"/>
      <w:u w:val="single"/>
    </w:rPr>
  </w:style>
  <w:style w:type="character" w:customStyle="1" w:styleId="7">
    <w:name w:val="font21"/>
    <w:qFormat/>
    <w:uiPriority w:val="0"/>
    <w:rPr>
      <w:rFonts w:hint="eastAsia" w:ascii="宋体" w:hAnsi="宋体" w:eastAsia="宋体" w:cs="宋体"/>
      <w:b/>
      <w:bCs/>
      <w:color w:val="000000"/>
      <w:sz w:val="20"/>
      <w:szCs w:val="20"/>
      <w:u w:val="none"/>
    </w:rPr>
  </w:style>
  <w:style w:type="character" w:customStyle="1" w:styleId="8">
    <w:name w:val="font31"/>
    <w:basedOn w:val="5"/>
    <w:uiPriority w:val="0"/>
    <w:rPr>
      <w:rFonts w:hint="eastAsia" w:ascii="微软雅黑" w:hAnsi="微软雅黑" w:eastAsia="微软雅黑" w:cs="微软雅黑"/>
      <w:color w:val="000000"/>
      <w:sz w:val="22"/>
      <w:szCs w:val="22"/>
      <w:u w:val="none"/>
    </w:rPr>
  </w:style>
  <w:style w:type="character" w:customStyle="1" w:styleId="9">
    <w:name w:val="font51"/>
    <w:basedOn w:val="5"/>
    <w:uiPriority w:val="0"/>
    <w:rPr>
      <w:rFonts w:hint="eastAsia" w:ascii="微软雅黑" w:hAnsi="微软雅黑" w:eastAsia="微软雅黑" w:cs="微软雅黑"/>
      <w:color w:val="000000"/>
      <w:sz w:val="22"/>
      <w:szCs w:val="22"/>
      <w:u w:val="none"/>
      <w:vertAlign w:val="sub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1494</Words>
  <Characters>2450</Characters>
  <Lines>0</Lines>
  <Paragraphs>0</Paragraphs>
  <TotalTime>954</TotalTime>
  <ScaleCrop>false</ScaleCrop>
  <LinksUpToDate>false</LinksUpToDate>
  <CharactersWithSpaces>2495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2024-06-26T02:25:00Z</dcterms:created>
  <dc:creator>鱼</dc:creator>
  <cp:lastModifiedBy>陈葆燊</cp:lastModifiedBy>
  <dcterms:modified xsi:type="dcterms:W3CDTF">2026-08-13T02:52:19Z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EE9C13C43F2C411DB000C0E6779352F1_11</vt:lpwstr>
  </property>
  <property fmtid="{D5CDD505-2E9C-101B-9397-08002B2CF9AE}" pid="4" name="KSOTemplateDocerSaveRecord">
    <vt:lpwstr>eyJoZGlkIjoiM2FiNTIyNzY5OWRjNzAyZmMwMTk4YmM1ZmYzNGZjODMiLCJ1c2VySWQiOiI3MTE4NzE2NzUifQ==</vt:lpwstr>
  </property>
</Properties>
</file>