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82406">
      <w:pPr>
        <w:autoSpaceDE w:val="0"/>
        <w:autoSpaceDN w:val="0"/>
        <w:snapToGrid w:val="0"/>
        <w:ind w:firstLine="723" w:firstLineChars="300"/>
        <w:rPr>
          <w:rFonts w:eastAsiaTheme="minorEastAsia"/>
          <w:b/>
          <w:bCs/>
          <w:snapToGrid w:val="0"/>
          <w:kern w:val="0"/>
          <w:sz w:val="24"/>
        </w:rPr>
      </w:pPr>
    </w:p>
    <w:p w14:paraId="780F4F46">
      <w:pPr>
        <w:jc w:val="center"/>
        <w:rPr>
          <w:rFonts w:eastAsiaTheme="minorEastAsia"/>
          <w:b/>
          <w:bCs/>
          <w:sz w:val="32"/>
          <w:szCs w:val="40"/>
        </w:rPr>
      </w:pPr>
      <w:r>
        <w:rPr>
          <w:rFonts w:eastAsiaTheme="minorEastAsia"/>
          <w:b/>
          <w:bCs/>
          <w:sz w:val="32"/>
          <w:szCs w:val="40"/>
        </w:rPr>
        <w:t>技术规格书</w:t>
      </w:r>
    </w:p>
    <w:p w14:paraId="525FD22F">
      <w:pPr>
        <w:jc w:val="center"/>
        <w:rPr>
          <w:rFonts w:eastAsiaTheme="minorEastAsia"/>
          <w:sz w:val="32"/>
          <w:szCs w:val="40"/>
        </w:rPr>
      </w:pPr>
      <w:r>
        <w:rPr>
          <w:rFonts w:hint="eastAsia" w:eastAsiaTheme="minorEastAsia"/>
          <w:sz w:val="32"/>
          <w:szCs w:val="40"/>
        </w:rPr>
        <w:t>安全生产标准化建设及评审服务</w:t>
      </w:r>
      <w:r>
        <w:rPr>
          <w:rFonts w:hint="eastAsia" w:eastAsiaTheme="minorEastAsia"/>
          <w:sz w:val="32"/>
          <w:szCs w:val="40"/>
          <w:lang w:eastAsia="zh-CN"/>
        </w:rPr>
        <w:t>（</w:t>
      </w:r>
      <w:r>
        <w:rPr>
          <w:rFonts w:hint="eastAsia" w:eastAsiaTheme="minorEastAsia"/>
          <w:sz w:val="32"/>
          <w:szCs w:val="40"/>
        </w:rPr>
        <w:t>含装置审查</w:t>
      </w:r>
      <w:r>
        <w:rPr>
          <w:rFonts w:hint="eastAsia" w:eastAsiaTheme="minorEastAsia"/>
          <w:sz w:val="32"/>
          <w:szCs w:val="40"/>
          <w:lang w:eastAsia="zh-CN"/>
        </w:rPr>
        <w:t>）</w:t>
      </w:r>
    </w:p>
    <w:p w14:paraId="0A311E2A">
      <w:pPr>
        <w:numPr>
          <w:ilvl w:val="0"/>
          <w:numId w:val="0"/>
        </w:numPr>
        <w:shd w:val="clear" w:color="auto" w:fill="FFFFFF"/>
        <w:adjustRightInd w:val="0"/>
        <w:snapToGrid w:val="0"/>
        <w:ind w:firstLine="560" w:firstLineChars="200"/>
        <w:rPr>
          <w:rFonts w:hint="eastAsia" w:eastAsiaTheme="minorEastAsia"/>
          <w:kern w:val="0"/>
          <w:sz w:val="28"/>
          <w:szCs w:val="36"/>
          <w:lang w:eastAsia="zh-CN"/>
        </w:rPr>
      </w:pPr>
      <w:r>
        <w:rPr>
          <w:rFonts w:hint="eastAsia" w:eastAsiaTheme="minorEastAsia"/>
          <w:kern w:val="0"/>
          <w:sz w:val="28"/>
          <w:szCs w:val="36"/>
        </w:rPr>
        <w:t>本技术规格书适用于福建省东南电化公司依据最新国家标准开展安全生产标准化建设、自评工作。投标方需协助业主完成</w:t>
      </w:r>
      <w:r>
        <w:rPr>
          <w:rFonts w:hint="eastAsia" w:eastAsiaTheme="minorEastAsia"/>
          <w:kern w:val="0"/>
          <w:sz w:val="28"/>
          <w:szCs w:val="36"/>
          <w:lang w:eastAsia="zh-CN"/>
        </w:rPr>
        <w:t>：</w:t>
      </w:r>
    </w:p>
    <w:p w14:paraId="5B4FB5C3">
      <w:pPr>
        <w:numPr>
          <w:ilvl w:val="0"/>
          <w:numId w:val="0"/>
        </w:numPr>
        <w:shd w:val="clear" w:color="auto" w:fill="FFFFFF"/>
        <w:adjustRightInd w:val="0"/>
        <w:snapToGrid w:val="0"/>
        <w:ind w:firstLine="560" w:firstLineChars="200"/>
        <w:rPr>
          <w:rFonts w:hint="eastAsia" w:eastAsiaTheme="minorEastAsia"/>
          <w:kern w:val="0"/>
          <w:sz w:val="28"/>
          <w:szCs w:val="36"/>
          <w:lang w:eastAsia="zh-CN"/>
        </w:rPr>
      </w:pPr>
      <w:r>
        <w:rPr>
          <w:rFonts w:hint="eastAsia" w:eastAsiaTheme="minorEastAsia"/>
          <w:kern w:val="0"/>
          <w:sz w:val="28"/>
          <w:szCs w:val="36"/>
          <w:lang w:val="en-US" w:eastAsia="zh-CN"/>
        </w:rPr>
        <w:t>1）</w:t>
      </w:r>
      <w:r>
        <w:rPr>
          <w:rFonts w:hint="eastAsia" w:eastAsiaTheme="minorEastAsia"/>
          <w:kern w:val="0"/>
          <w:sz w:val="28"/>
          <w:szCs w:val="36"/>
        </w:rPr>
        <w:t>从现状诊断、</w:t>
      </w:r>
      <w:r>
        <w:rPr>
          <w:rFonts w:hint="eastAsia" w:eastAsiaTheme="minorEastAsia"/>
          <w:kern w:val="0"/>
          <w:sz w:val="28"/>
          <w:szCs w:val="36"/>
          <w:lang w:val="en-US" w:eastAsia="zh-CN"/>
        </w:rPr>
        <w:t>要素培训、</w:t>
      </w:r>
      <w:r>
        <w:rPr>
          <w:rFonts w:hint="eastAsia" w:eastAsiaTheme="minorEastAsia"/>
          <w:kern w:val="0"/>
          <w:sz w:val="28"/>
          <w:szCs w:val="36"/>
        </w:rPr>
        <w:t>体系建立、运行辅导、自评的全过程</w:t>
      </w:r>
      <w:r>
        <w:rPr>
          <w:rFonts w:hint="eastAsia" w:eastAsiaTheme="minorEastAsia"/>
          <w:kern w:val="0"/>
          <w:sz w:val="28"/>
          <w:szCs w:val="36"/>
          <w:lang w:eastAsia="zh-CN"/>
        </w:rPr>
        <w:t>，本项目自评的最终建设目标是达到“二级”标准化；</w:t>
      </w:r>
    </w:p>
    <w:p w14:paraId="06DD5625">
      <w:pPr>
        <w:numPr>
          <w:ilvl w:val="0"/>
          <w:numId w:val="0"/>
        </w:numPr>
        <w:shd w:val="clear" w:color="auto" w:fill="FFFFFF"/>
        <w:adjustRightInd w:val="0"/>
        <w:snapToGrid w:val="0"/>
        <w:ind w:firstLine="560" w:firstLineChars="200"/>
        <w:rPr>
          <w:rFonts w:hint="default" w:eastAsiaTheme="minorEastAsia"/>
          <w:kern w:val="0"/>
          <w:sz w:val="28"/>
          <w:szCs w:val="36"/>
          <w:lang w:val="en-US" w:eastAsia="zh-CN"/>
        </w:rPr>
      </w:pPr>
      <w:r>
        <w:rPr>
          <w:rFonts w:hint="eastAsia" w:eastAsiaTheme="minorEastAsia"/>
          <w:kern w:val="0"/>
          <w:sz w:val="28"/>
          <w:szCs w:val="36"/>
          <w:lang w:val="en-US" w:eastAsia="zh-CN"/>
        </w:rPr>
        <w:t>2）一年内若有申报二级安全生产标准化的换证工作，需协助完成换证评审工作；</w:t>
      </w:r>
    </w:p>
    <w:p w14:paraId="00EEBD02">
      <w:pPr>
        <w:numPr>
          <w:ilvl w:val="0"/>
          <w:numId w:val="0"/>
        </w:numPr>
        <w:shd w:val="clear" w:color="auto" w:fill="FFFFFF"/>
        <w:adjustRightInd w:val="0"/>
        <w:snapToGrid w:val="0"/>
        <w:ind w:firstLine="560" w:firstLineChars="200"/>
        <w:rPr>
          <w:rFonts w:hint="eastAsia" w:eastAsiaTheme="minorEastAsia"/>
          <w:kern w:val="0"/>
          <w:sz w:val="28"/>
          <w:szCs w:val="36"/>
        </w:rPr>
      </w:pPr>
      <w:r>
        <w:rPr>
          <w:rFonts w:hint="eastAsia" w:eastAsiaTheme="minorEastAsia"/>
          <w:kern w:val="0"/>
          <w:sz w:val="28"/>
          <w:szCs w:val="36"/>
          <w:lang w:val="en-US" w:eastAsia="zh-CN"/>
        </w:rPr>
        <w:t>3）</w:t>
      </w:r>
      <w:r>
        <w:rPr>
          <w:rFonts w:hint="eastAsia" w:eastAsiaTheme="minorEastAsia"/>
          <w:kern w:val="0"/>
          <w:sz w:val="28"/>
          <w:szCs w:val="36"/>
          <w:lang w:eastAsia="zh-CN"/>
        </w:rPr>
        <w:t>针对现有生产装置（</w:t>
      </w:r>
      <w:r>
        <w:rPr>
          <w:rFonts w:hint="eastAsia" w:eastAsiaTheme="minorEastAsia"/>
          <w:kern w:val="0"/>
          <w:sz w:val="28"/>
          <w:szCs w:val="36"/>
          <w:lang w:val="en-US" w:eastAsia="zh-CN"/>
        </w:rPr>
        <w:t>17套装置</w:t>
      </w:r>
      <w:r>
        <w:rPr>
          <w:rFonts w:hint="eastAsia" w:eastAsiaTheme="minorEastAsia"/>
          <w:kern w:val="0"/>
          <w:sz w:val="28"/>
          <w:szCs w:val="36"/>
          <w:lang w:eastAsia="zh-CN"/>
        </w:rPr>
        <w:t>），对照《安全生产法》《危险化学品安全管理条例》《化工过程安全管理导则》（AQ/T 3034）等现行法规标准，审查车间装置在安全设施配置、工艺安全信息管理、重大危险源管控、特殊作业许可、应急预案备案与演练等方面的合规状态，</w:t>
      </w:r>
      <w:r>
        <w:rPr>
          <w:rFonts w:hint="eastAsia" w:eastAsiaTheme="minorEastAsia"/>
          <w:kern w:val="0"/>
          <w:sz w:val="28"/>
          <w:szCs w:val="36"/>
          <w:lang w:val="en-US" w:eastAsia="zh-CN"/>
        </w:rPr>
        <w:t>根据查到的不符合项，提出改善管理的建议措施</w:t>
      </w:r>
      <w:r>
        <w:rPr>
          <w:rFonts w:hint="eastAsia" w:eastAsiaTheme="minorEastAsia"/>
          <w:kern w:val="0"/>
          <w:sz w:val="28"/>
          <w:szCs w:val="36"/>
          <w:lang w:eastAsia="zh-CN"/>
        </w:rPr>
        <w:t>，</w:t>
      </w:r>
      <w:r>
        <w:rPr>
          <w:rFonts w:hint="eastAsia" w:eastAsiaTheme="minorEastAsia"/>
          <w:kern w:val="0"/>
          <w:sz w:val="28"/>
          <w:szCs w:val="36"/>
          <w:lang w:val="en-US" w:eastAsia="zh-CN"/>
        </w:rPr>
        <w:t>并</w:t>
      </w:r>
      <w:r>
        <w:rPr>
          <w:rFonts w:hint="eastAsia" w:eastAsiaTheme="minorEastAsia"/>
          <w:kern w:val="0"/>
          <w:sz w:val="28"/>
          <w:szCs w:val="36"/>
          <w:lang w:eastAsia="zh-CN"/>
        </w:rPr>
        <w:t>出具《装置合规性审查报告》</w:t>
      </w:r>
      <w:r>
        <w:rPr>
          <w:rFonts w:hint="eastAsia" w:eastAsiaTheme="minorEastAsia"/>
          <w:kern w:val="0"/>
          <w:sz w:val="28"/>
          <w:szCs w:val="36"/>
        </w:rPr>
        <w:t>。</w:t>
      </w:r>
    </w:p>
    <w:p w14:paraId="61D5A933">
      <w:pPr>
        <w:shd w:val="clear" w:color="auto" w:fill="FFFFFF"/>
        <w:adjustRightInd w:val="0"/>
        <w:snapToGrid w:val="0"/>
        <w:ind w:firstLine="560" w:firstLineChars="200"/>
        <w:rPr>
          <w:rFonts w:eastAsiaTheme="minorEastAsia"/>
          <w:kern w:val="0"/>
          <w:sz w:val="28"/>
          <w:szCs w:val="36"/>
        </w:rPr>
      </w:pPr>
      <w:r>
        <w:rPr>
          <w:rFonts w:eastAsiaTheme="minorEastAsia"/>
          <w:kern w:val="0"/>
          <w:sz w:val="28"/>
          <w:szCs w:val="36"/>
        </w:rPr>
        <w:t>2. 本技术规格书提出的是最低限度要求，并未对一切细节做出规定，也未充分引述有关标准和规范的条文，投标方应保证提供符合本技术规范书和有关工业标准，同时必须满足国家有关安全强制性标准和规范的要求。</w:t>
      </w:r>
    </w:p>
    <w:p w14:paraId="5CC90190">
      <w:pPr>
        <w:shd w:val="clear" w:color="auto" w:fill="FFFFFF"/>
        <w:adjustRightInd w:val="0"/>
        <w:snapToGrid w:val="0"/>
        <w:ind w:firstLine="560" w:firstLineChars="200"/>
        <w:rPr>
          <w:rFonts w:eastAsiaTheme="minorEastAsia"/>
          <w:kern w:val="0"/>
          <w:sz w:val="28"/>
          <w:szCs w:val="36"/>
        </w:rPr>
      </w:pPr>
      <w:r>
        <w:rPr>
          <w:rFonts w:eastAsiaTheme="minorEastAsia"/>
          <w:kern w:val="0"/>
          <w:sz w:val="28"/>
          <w:szCs w:val="36"/>
        </w:rPr>
        <w:t>3．投标人须具备以下要求</w:t>
      </w:r>
    </w:p>
    <w:p w14:paraId="264DD62B">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（1）</w:t>
      </w:r>
      <w:r>
        <w:rPr>
          <w:rFonts w:eastAsiaTheme="minorEastAsia"/>
          <w:kern w:val="0"/>
          <w:sz w:val="28"/>
          <w:szCs w:val="36"/>
        </w:rPr>
        <w:t>参选人需满足在中华人民共和国境内注册、具有独立承担民事责任能力的</w:t>
      </w:r>
      <w:r>
        <w:rPr>
          <w:rFonts w:hint="eastAsia" w:eastAsiaTheme="minorEastAsia"/>
          <w:kern w:val="0"/>
          <w:sz w:val="28"/>
          <w:szCs w:val="36"/>
          <w:highlight w:val="yellow"/>
          <w:lang w:eastAsia="zh-CN"/>
        </w:rPr>
        <w:t>安全评价机构</w:t>
      </w:r>
      <w:r>
        <w:rPr>
          <w:rFonts w:eastAsiaTheme="minorEastAsia"/>
          <w:kern w:val="0"/>
          <w:sz w:val="28"/>
          <w:szCs w:val="36"/>
        </w:rPr>
        <w:t>、营业执照经营范围符合比选项目要求</w:t>
      </w:r>
      <w:r>
        <w:rPr>
          <w:rFonts w:hint="eastAsia" w:eastAsiaTheme="minorEastAsia"/>
          <w:kern w:val="0"/>
          <w:sz w:val="28"/>
          <w:szCs w:val="36"/>
        </w:rPr>
        <w:t>。</w:t>
      </w:r>
      <w:r>
        <w:rPr>
          <w:rFonts w:hint="eastAsia" w:eastAsiaTheme="minorEastAsia"/>
          <w:kern w:val="0"/>
          <w:sz w:val="28"/>
          <w:szCs w:val="36"/>
          <w:lang w:eastAsia="zh-CN"/>
        </w:rPr>
        <w:t>并且具备</w:t>
      </w:r>
      <w:r>
        <w:rPr>
          <w:rFonts w:hint="eastAsia" w:ascii="宋体" w:hAnsi="宋体" w:eastAsia="宋体" w:cs="Arial"/>
          <w:b w:val="0"/>
          <w:bCs w:val="0"/>
          <w:sz w:val="24"/>
          <w:highlight w:val="none"/>
        </w:rPr>
        <w:t>质</w:t>
      </w:r>
      <w:r>
        <w:rPr>
          <w:rFonts w:hint="eastAsia" w:ascii="宋体" w:hAnsi="宋体" w:eastAsia="宋体" w:cs="Arial"/>
          <w:b w:val="0"/>
          <w:bCs w:val="0"/>
          <w:sz w:val="28"/>
          <w:szCs w:val="28"/>
          <w:highlight w:val="yellow"/>
        </w:rPr>
        <w:t>量管理体系认证证书、环境管理体系认证证书、职业健康安全管理体系认证证书</w:t>
      </w:r>
      <w:r>
        <w:rPr>
          <w:rFonts w:hint="eastAsia" w:ascii="宋体" w:hAnsi="宋体" w:eastAsia="宋体" w:cs="Arial"/>
          <w:b w:val="0"/>
          <w:bCs w:val="0"/>
          <w:sz w:val="28"/>
          <w:szCs w:val="28"/>
          <w:highlight w:val="yellow"/>
          <w:lang w:eastAsia="zh-CN"/>
        </w:rPr>
        <w:t>，</w:t>
      </w:r>
      <w:r>
        <w:rPr>
          <w:rFonts w:hint="eastAsia" w:eastAsiaTheme="minorEastAsia"/>
          <w:kern w:val="0"/>
          <w:sz w:val="28"/>
          <w:szCs w:val="36"/>
        </w:rPr>
        <w:t>须提供营业执照</w:t>
      </w:r>
      <w:r>
        <w:rPr>
          <w:rFonts w:eastAsiaTheme="minorEastAsia"/>
          <w:kern w:val="0"/>
          <w:sz w:val="28"/>
          <w:szCs w:val="36"/>
        </w:rPr>
        <w:t>，并加盖参选人公章；</w:t>
      </w:r>
    </w:p>
    <w:p w14:paraId="131DF5D5">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（2）</w:t>
      </w:r>
      <w:r>
        <w:rPr>
          <w:rFonts w:eastAsiaTheme="minorEastAsia"/>
          <w:kern w:val="0"/>
          <w:sz w:val="28"/>
          <w:szCs w:val="36"/>
        </w:rPr>
        <w:t>本比选项目不接受联合体参选；</w:t>
      </w:r>
    </w:p>
    <w:p w14:paraId="065FB92C">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（3）</w:t>
      </w:r>
      <w:r>
        <w:rPr>
          <w:rFonts w:eastAsiaTheme="minorEastAsia"/>
          <w:kern w:val="0"/>
          <w:sz w:val="28"/>
          <w:szCs w:val="36"/>
        </w:rPr>
        <w:t>参加本次比选活动之前的三年内，在经营活动中无重大违法记录</w:t>
      </w:r>
      <w:r>
        <w:rPr>
          <w:rFonts w:hint="eastAsia" w:eastAsiaTheme="minorEastAsia"/>
          <w:kern w:val="0"/>
          <w:sz w:val="28"/>
          <w:szCs w:val="36"/>
        </w:rPr>
        <w:t>。须提供承诺函（格式自拟）</w:t>
      </w:r>
      <w:r>
        <w:rPr>
          <w:rFonts w:eastAsiaTheme="minorEastAsia"/>
          <w:kern w:val="0"/>
          <w:sz w:val="28"/>
          <w:szCs w:val="36"/>
        </w:rPr>
        <w:t>，并加盖参选人公章；</w:t>
      </w:r>
    </w:p>
    <w:p w14:paraId="214F85DB">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（4）202</w:t>
      </w:r>
      <w:r>
        <w:rPr>
          <w:rFonts w:hint="eastAsia" w:eastAsiaTheme="minorEastAsia"/>
          <w:kern w:val="0"/>
          <w:sz w:val="28"/>
          <w:szCs w:val="36"/>
          <w:lang w:val="en-US" w:eastAsia="zh-CN"/>
        </w:rPr>
        <w:t>3</w:t>
      </w:r>
      <w:r>
        <w:rPr>
          <w:rFonts w:hint="eastAsia" w:eastAsiaTheme="minorEastAsia"/>
          <w:kern w:val="0"/>
          <w:sz w:val="28"/>
          <w:szCs w:val="36"/>
        </w:rPr>
        <w:t>年以来必须完成过至少</w:t>
      </w:r>
      <w:r>
        <w:rPr>
          <w:rFonts w:hint="eastAsia" w:eastAsiaTheme="minorEastAsia"/>
          <w:kern w:val="0"/>
          <w:sz w:val="28"/>
          <w:szCs w:val="36"/>
          <w:lang w:val="en-US" w:eastAsia="zh-CN"/>
        </w:rPr>
        <w:t>1</w:t>
      </w:r>
      <w:r>
        <w:rPr>
          <w:rFonts w:hint="eastAsia" w:eastAsiaTheme="minorEastAsia"/>
          <w:kern w:val="0"/>
          <w:sz w:val="28"/>
          <w:szCs w:val="36"/>
        </w:rPr>
        <w:t>项危险化学品生产企业的安全生产标准化（二级及以上）咨询</w:t>
      </w:r>
      <w:r>
        <w:rPr>
          <w:rFonts w:hint="eastAsia" w:eastAsiaTheme="minorEastAsia"/>
          <w:kern w:val="0"/>
          <w:sz w:val="28"/>
          <w:szCs w:val="36"/>
          <w:lang w:val="en-US" w:eastAsia="zh-CN"/>
        </w:rPr>
        <w:t>和在役装置合规性审查的服务业绩</w:t>
      </w:r>
      <w:r>
        <w:rPr>
          <w:rFonts w:hint="eastAsia" w:eastAsiaTheme="minorEastAsia"/>
          <w:kern w:val="0"/>
          <w:sz w:val="28"/>
          <w:szCs w:val="36"/>
        </w:rPr>
        <w:t>。须提供合同复印件及对应企业的达标公告证明。</w:t>
      </w:r>
    </w:p>
    <w:p w14:paraId="3CCE65B2">
      <w:pPr>
        <w:shd w:val="clear" w:color="auto" w:fill="FFFFFF"/>
        <w:adjustRightInd w:val="0"/>
        <w:snapToGrid w:val="0"/>
        <w:ind w:firstLine="560" w:firstLineChars="200"/>
        <w:rPr>
          <w:rFonts w:hint="eastAsia" w:eastAsiaTheme="minorEastAsia"/>
          <w:kern w:val="0"/>
          <w:sz w:val="28"/>
          <w:szCs w:val="36"/>
          <w:lang w:eastAsia="zh-CN"/>
        </w:rPr>
      </w:pPr>
      <w:r>
        <w:rPr>
          <w:rFonts w:hint="eastAsia" w:eastAsiaTheme="minorEastAsia"/>
          <w:kern w:val="0"/>
          <w:sz w:val="28"/>
          <w:szCs w:val="36"/>
        </w:rPr>
        <w:t>（</w:t>
      </w:r>
      <w:r>
        <w:rPr>
          <w:rFonts w:hint="eastAsia" w:eastAsiaTheme="minorEastAsia"/>
          <w:kern w:val="0"/>
          <w:sz w:val="28"/>
          <w:szCs w:val="36"/>
          <w:lang w:val="en-US" w:eastAsia="zh-CN"/>
        </w:rPr>
        <w:t>5</w:t>
      </w:r>
      <w:r>
        <w:rPr>
          <w:rFonts w:hint="eastAsia" w:eastAsiaTheme="minorEastAsia"/>
          <w:kern w:val="0"/>
          <w:sz w:val="28"/>
          <w:szCs w:val="36"/>
        </w:rPr>
        <w:t>）投标人须熟悉福建省应急管理厅关于危险化学品安全生产标准化的评审标准及具体实施细则</w:t>
      </w:r>
      <w:r>
        <w:rPr>
          <w:rFonts w:hint="eastAsia" w:eastAsiaTheme="minorEastAsia"/>
          <w:kern w:val="0"/>
          <w:sz w:val="28"/>
          <w:szCs w:val="36"/>
          <w:lang w:eastAsia="zh-CN"/>
        </w:rPr>
        <w:t>。</w:t>
      </w:r>
    </w:p>
    <w:p w14:paraId="6FCF7C81">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w:t>
      </w:r>
      <w:r>
        <w:rPr>
          <w:rFonts w:hint="eastAsia" w:eastAsiaTheme="minorEastAsia"/>
          <w:kern w:val="0"/>
          <w:sz w:val="28"/>
          <w:szCs w:val="36"/>
          <w:lang w:val="en-US" w:eastAsia="zh-CN"/>
        </w:rPr>
        <w:t>6</w:t>
      </w:r>
      <w:r>
        <w:rPr>
          <w:rFonts w:hint="eastAsia" w:eastAsiaTheme="minorEastAsia"/>
          <w:kern w:val="0"/>
          <w:sz w:val="28"/>
          <w:szCs w:val="36"/>
        </w:rPr>
        <w:t>）</w:t>
      </w:r>
      <w:r>
        <w:rPr>
          <w:rFonts w:eastAsiaTheme="minorEastAsia"/>
          <w:kern w:val="0"/>
          <w:sz w:val="28"/>
          <w:szCs w:val="36"/>
        </w:rPr>
        <w:t>单位负责人为同一人或者存在控股、管理关系的不同单位不得同时参加本项目的比选；</w:t>
      </w:r>
    </w:p>
    <w:p w14:paraId="769436FC">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w:t>
      </w:r>
      <w:r>
        <w:rPr>
          <w:rFonts w:hint="eastAsia" w:eastAsiaTheme="minorEastAsia"/>
          <w:kern w:val="0"/>
          <w:sz w:val="28"/>
          <w:szCs w:val="36"/>
          <w:lang w:val="en-US" w:eastAsia="zh-CN"/>
        </w:rPr>
        <w:t>7</w:t>
      </w:r>
      <w:r>
        <w:rPr>
          <w:rFonts w:hint="eastAsia" w:eastAsiaTheme="minorEastAsia"/>
          <w:kern w:val="0"/>
          <w:sz w:val="28"/>
          <w:szCs w:val="36"/>
        </w:rPr>
        <w:t>）参选人须具有良好的资信信誉，在</w:t>
      </w:r>
      <w:r>
        <w:rPr>
          <w:rFonts w:hint="eastAsia" w:eastAsiaTheme="minorEastAsia"/>
          <w:kern w:val="0"/>
          <w:sz w:val="28"/>
          <w:szCs w:val="36"/>
          <w:lang w:val="en-US" w:eastAsia="zh-CN"/>
        </w:rPr>
        <w:t>应急</w:t>
      </w:r>
      <w:r>
        <w:rPr>
          <w:rFonts w:hint="eastAsia" w:eastAsiaTheme="minorEastAsia"/>
          <w:kern w:val="0"/>
          <w:sz w:val="28"/>
          <w:szCs w:val="36"/>
        </w:rPr>
        <w:t>管理部门设立的信用平台网站上，近三年内不得被列入黑名单、限期整改、重点监督检查名单。须提供承诺函（格式自拟）</w:t>
      </w:r>
      <w:r>
        <w:rPr>
          <w:rFonts w:eastAsiaTheme="minorEastAsia"/>
          <w:kern w:val="0"/>
          <w:sz w:val="28"/>
          <w:szCs w:val="36"/>
        </w:rPr>
        <w:t>，并加盖参选人公章；</w:t>
      </w:r>
    </w:p>
    <w:p w14:paraId="05E8529C">
      <w:pPr>
        <w:shd w:val="clear" w:color="auto" w:fill="FFFFFF"/>
        <w:adjustRightInd w:val="0"/>
        <w:snapToGrid w:val="0"/>
        <w:ind w:firstLine="560" w:firstLineChars="200"/>
        <w:rPr>
          <w:rFonts w:hint="eastAsia" w:eastAsiaTheme="minorEastAsia"/>
          <w:kern w:val="0"/>
          <w:sz w:val="28"/>
          <w:szCs w:val="36"/>
        </w:rPr>
      </w:pPr>
      <w:r>
        <w:rPr>
          <w:rFonts w:hint="eastAsia" w:eastAsiaTheme="minorEastAsia"/>
          <w:kern w:val="0"/>
          <w:sz w:val="28"/>
          <w:szCs w:val="36"/>
        </w:rPr>
        <w:t>（</w:t>
      </w:r>
      <w:r>
        <w:rPr>
          <w:rFonts w:hint="eastAsia" w:eastAsiaTheme="minorEastAsia"/>
          <w:kern w:val="0"/>
          <w:sz w:val="28"/>
          <w:szCs w:val="36"/>
          <w:lang w:val="en-US" w:eastAsia="zh-CN"/>
        </w:rPr>
        <w:t>8</w:t>
      </w:r>
      <w:r>
        <w:rPr>
          <w:rFonts w:hint="eastAsia" w:eastAsiaTheme="minorEastAsia"/>
          <w:kern w:val="0"/>
          <w:sz w:val="28"/>
          <w:szCs w:val="36"/>
        </w:rPr>
        <w:t>）参选人没有被列入严重失信主体名单</w:t>
      </w:r>
      <w:r>
        <w:rPr>
          <w:rFonts w:eastAsiaTheme="minorEastAsia"/>
          <w:kern w:val="0"/>
          <w:sz w:val="28"/>
          <w:szCs w:val="36"/>
        </w:rPr>
        <w:t xml:space="preserve"> (以</w:t>
      </w:r>
      <w:r>
        <w:rPr>
          <w:rFonts w:hint="eastAsia" w:eastAsiaTheme="minorEastAsia"/>
          <w:kern w:val="0"/>
          <w:sz w:val="28"/>
          <w:szCs w:val="36"/>
        </w:rPr>
        <w:t>信用中国网站</w:t>
      </w:r>
      <w:r>
        <w:rPr>
          <w:rFonts w:eastAsiaTheme="minorEastAsia"/>
          <w:kern w:val="0"/>
          <w:sz w:val="28"/>
          <w:szCs w:val="36"/>
        </w:rPr>
        <w:t>信息</w:t>
      </w:r>
      <w:r>
        <w:rPr>
          <w:rFonts w:hint="eastAsia" w:eastAsiaTheme="minorEastAsia"/>
          <w:kern w:val="0"/>
          <w:sz w:val="28"/>
          <w:szCs w:val="36"/>
        </w:rPr>
        <w:t>查询</w:t>
      </w:r>
      <w:r>
        <w:rPr>
          <w:rFonts w:eastAsiaTheme="minorEastAsia"/>
          <w:kern w:val="0"/>
          <w:sz w:val="28"/>
          <w:szCs w:val="36"/>
        </w:rPr>
        <w:t>为准)</w:t>
      </w:r>
      <w:r>
        <w:rPr>
          <w:rFonts w:hint="eastAsia" w:eastAsiaTheme="minorEastAsia"/>
          <w:kern w:val="0"/>
          <w:sz w:val="28"/>
          <w:szCs w:val="36"/>
        </w:rPr>
        <w:t>，参选人须提供查询截图，</w:t>
      </w:r>
      <w:r>
        <w:rPr>
          <w:rFonts w:eastAsiaTheme="minorEastAsia"/>
          <w:kern w:val="0"/>
          <w:sz w:val="28"/>
          <w:szCs w:val="36"/>
        </w:rPr>
        <w:t>并加盖参选人公章</w:t>
      </w:r>
      <w:r>
        <w:rPr>
          <w:rFonts w:hint="eastAsia" w:eastAsiaTheme="minorEastAsia"/>
          <w:kern w:val="0"/>
          <w:sz w:val="28"/>
          <w:szCs w:val="36"/>
        </w:rPr>
        <w:t>。</w:t>
      </w:r>
    </w:p>
    <w:p w14:paraId="0709152E">
      <w:pPr>
        <w:shd w:val="clear" w:color="auto" w:fill="FFFFFF"/>
        <w:adjustRightInd w:val="0"/>
        <w:snapToGrid w:val="0"/>
        <w:ind w:firstLine="560" w:firstLineChars="200"/>
        <w:rPr>
          <w:rFonts w:hint="eastAsia" w:eastAsiaTheme="minorEastAsia"/>
          <w:kern w:val="0"/>
          <w:sz w:val="28"/>
          <w:szCs w:val="36"/>
          <w:highlight w:val="yellow"/>
          <w:lang w:val="en-US" w:eastAsia="zh-CN"/>
        </w:rPr>
      </w:pPr>
      <w:r>
        <w:rPr>
          <w:rFonts w:hint="eastAsia" w:eastAsiaTheme="minorEastAsia"/>
          <w:kern w:val="0"/>
          <w:sz w:val="28"/>
          <w:szCs w:val="36"/>
          <w:highlight w:val="yellow"/>
          <w:lang w:val="en-US" w:eastAsia="zh-CN"/>
        </w:rPr>
        <w:t>（9）参选人针对本项目负责人，需高级工程师、中级注册安全工程师、省或市级专家库专家、危险化学品安全生产标准化评审专家至少2人。成员：需注册安全工程师或者危险化学品生产标准化评审专家至少2人。并且拟定合理的项目实施方案。</w:t>
      </w:r>
      <w:bookmarkStart w:id="0" w:name="_GoBack"/>
      <w:bookmarkEnd w:id="0"/>
    </w:p>
    <w:p w14:paraId="6D964C1C">
      <w:pPr>
        <w:shd w:val="clear" w:color="auto" w:fill="FFFFFF"/>
        <w:adjustRightInd w:val="0"/>
        <w:snapToGrid w:val="0"/>
        <w:ind w:firstLine="560" w:firstLineChars="200"/>
        <w:rPr>
          <w:rFonts w:hint="eastAsia" w:eastAsiaTheme="minorEastAsia"/>
          <w:kern w:val="0"/>
          <w:sz w:val="28"/>
          <w:szCs w:val="36"/>
          <w:lang w:val="en-US" w:eastAsia="zh-CN"/>
        </w:rPr>
      </w:pPr>
      <w:r>
        <w:rPr>
          <w:rFonts w:hint="eastAsia" w:eastAsiaTheme="minorEastAsia"/>
          <w:kern w:val="0"/>
          <w:sz w:val="28"/>
          <w:szCs w:val="36"/>
          <w:lang w:val="en-US" w:eastAsia="zh-CN"/>
        </w:rPr>
        <w:t>4.项目完成期限</w:t>
      </w:r>
    </w:p>
    <w:p w14:paraId="2EFDA8D2">
      <w:pPr>
        <w:shd w:val="clear" w:color="auto" w:fill="FFFFFF"/>
        <w:adjustRightInd w:val="0"/>
        <w:snapToGrid w:val="0"/>
        <w:ind w:firstLine="560" w:firstLineChars="200"/>
        <w:rPr>
          <w:rFonts w:hint="default" w:eastAsiaTheme="minorEastAsia"/>
          <w:kern w:val="0"/>
          <w:sz w:val="28"/>
          <w:szCs w:val="36"/>
          <w:lang w:val="en-US" w:eastAsia="zh-CN"/>
        </w:rPr>
      </w:pPr>
      <w:r>
        <w:rPr>
          <w:rFonts w:hint="eastAsia" w:eastAsiaTheme="minorEastAsia"/>
          <w:kern w:val="0"/>
          <w:sz w:val="28"/>
          <w:szCs w:val="36"/>
        </w:rPr>
        <w:t>（1）</w:t>
      </w:r>
      <w:r>
        <w:rPr>
          <w:rFonts w:hint="eastAsia" w:eastAsiaTheme="minorEastAsia"/>
          <w:kern w:val="0"/>
          <w:sz w:val="28"/>
          <w:szCs w:val="36"/>
          <w:lang w:val="en-US" w:eastAsia="zh-CN"/>
        </w:rPr>
        <w:t>安全标准化建设</w:t>
      </w:r>
      <w:r>
        <w:rPr>
          <w:rFonts w:hint="eastAsia" w:eastAsiaTheme="minorEastAsia"/>
          <w:kern w:val="0"/>
          <w:sz w:val="28"/>
          <w:szCs w:val="36"/>
        </w:rPr>
        <w:t>项目</w:t>
      </w:r>
      <w:r>
        <w:rPr>
          <w:rFonts w:hint="eastAsia" w:eastAsiaTheme="minorEastAsia"/>
          <w:kern w:val="0"/>
          <w:sz w:val="28"/>
          <w:szCs w:val="36"/>
          <w:lang w:val="en-US" w:eastAsia="zh-CN"/>
        </w:rPr>
        <w:t>于2026年12月10日前完成</w:t>
      </w:r>
      <w:r>
        <w:rPr>
          <w:rFonts w:eastAsiaTheme="minorEastAsia"/>
          <w:kern w:val="0"/>
          <w:sz w:val="28"/>
          <w:szCs w:val="36"/>
        </w:rPr>
        <w:t>《</w:t>
      </w:r>
      <w:r>
        <w:rPr>
          <w:rFonts w:hint="eastAsia" w:eastAsiaTheme="minorEastAsia"/>
          <w:kern w:val="0"/>
          <w:sz w:val="28"/>
          <w:szCs w:val="36"/>
          <w:lang w:val="en-US" w:eastAsia="zh-CN"/>
        </w:rPr>
        <w:t>安全生产标准化评估</w:t>
      </w:r>
      <w:r>
        <w:rPr>
          <w:rFonts w:eastAsiaTheme="minorEastAsia"/>
          <w:kern w:val="0"/>
          <w:sz w:val="28"/>
          <w:szCs w:val="36"/>
        </w:rPr>
        <w:t>报告》</w:t>
      </w:r>
      <w:r>
        <w:rPr>
          <w:rFonts w:hint="eastAsia" w:eastAsiaTheme="minorEastAsia"/>
          <w:kern w:val="0"/>
          <w:sz w:val="28"/>
          <w:szCs w:val="36"/>
          <w:lang w:val="en-US" w:eastAsia="zh-CN"/>
        </w:rPr>
        <w:t>；</w:t>
      </w:r>
    </w:p>
    <w:p w14:paraId="3A78C9C4">
      <w:pPr>
        <w:shd w:val="clear" w:color="auto" w:fill="FFFFFF"/>
        <w:adjustRightInd w:val="0"/>
        <w:snapToGrid w:val="0"/>
        <w:ind w:firstLine="560" w:firstLineChars="200"/>
        <w:rPr>
          <w:rFonts w:hint="eastAsia" w:eastAsiaTheme="minorEastAsia"/>
          <w:kern w:val="0"/>
          <w:sz w:val="28"/>
          <w:szCs w:val="36"/>
          <w:lang w:eastAsia="zh-CN"/>
        </w:rPr>
      </w:pPr>
    </w:p>
    <w:p w14:paraId="316CE81E">
      <w:pPr>
        <w:shd w:val="clear" w:color="auto" w:fill="FFFFFF"/>
        <w:adjustRightInd w:val="0"/>
        <w:snapToGrid w:val="0"/>
        <w:ind w:firstLine="560" w:firstLineChars="200"/>
        <w:rPr>
          <w:rFonts w:hint="eastAsia" w:eastAsiaTheme="minorEastAsia"/>
          <w:kern w:val="0"/>
          <w:sz w:val="28"/>
          <w:szCs w:val="36"/>
          <w:lang w:eastAsia="zh-CN"/>
        </w:rPr>
      </w:pPr>
      <w:r>
        <w:rPr>
          <w:rFonts w:hint="eastAsia" w:eastAsiaTheme="minorEastAsia"/>
          <w:kern w:val="0"/>
          <w:sz w:val="28"/>
          <w:szCs w:val="36"/>
        </w:rPr>
        <w:t>（</w:t>
      </w:r>
      <w:r>
        <w:rPr>
          <w:rFonts w:hint="eastAsia" w:eastAsiaTheme="minorEastAsia"/>
          <w:kern w:val="0"/>
          <w:sz w:val="28"/>
          <w:szCs w:val="36"/>
          <w:lang w:val="en-US" w:eastAsia="zh-CN"/>
        </w:rPr>
        <w:t>2</w:t>
      </w:r>
      <w:r>
        <w:rPr>
          <w:rFonts w:hint="eastAsia" w:eastAsiaTheme="minorEastAsia"/>
          <w:kern w:val="0"/>
          <w:sz w:val="28"/>
          <w:szCs w:val="36"/>
        </w:rPr>
        <w:t>）</w:t>
      </w:r>
      <w:r>
        <w:rPr>
          <w:rFonts w:hint="eastAsia" w:eastAsiaTheme="minorEastAsia"/>
          <w:kern w:val="0"/>
          <w:sz w:val="28"/>
          <w:szCs w:val="36"/>
          <w:lang w:val="en-US" w:eastAsia="zh-CN"/>
        </w:rPr>
        <w:t>装置审查</w:t>
      </w:r>
      <w:r>
        <w:rPr>
          <w:rFonts w:hint="eastAsia" w:eastAsiaTheme="minorEastAsia"/>
          <w:kern w:val="0"/>
          <w:sz w:val="28"/>
          <w:szCs w:val="36"/>
        </w:rPr>
        <w:t>项目</w:t>
      </w:r>
      <w:r>
        <w:rPr>
          <w:rFonts w:hint="eastAsia" w:eastAsiaTheme="minorEastAsia"/>
          <w:kern w:val="0"/>
          <w:sz w:val="28"/>
          <w:szCs w:val="36"/>
          <w:lang w:val="en-US" w:eastAsia="zh-CN"/>
        </w:rPr>
        <w:t>于2026年11月30日前完成</w:t>
      </w:r>
      <w:r>
        <w:rPr>
          <w:rFonts w:eastAsiaTheme="minorEastAsia"/>
          <w:kern w:val="0"/>
          <w:sz w:val="28"/>
          <w:szCs w:val="36"/>
        </w:rPr>
        <w:t>《</w:t>
      </w:r>
      <w:r>
        <w:rPr>
          <w:rFonts w:hint="eastAsia" w:eastAsiaTheme="minorEastAsia"/>
          <w:kern w:val="0"/>
          <w:sz w:val="28"/>
          <w:szCs w:val="36"/>
          <w:lang w:val="en-US" w:eastAsia="zh-CN"/>
        </w:rPr>
        <w:t>装置审查报告</w:t>
      </w:r>
      <w:r>
        <w:rPr>
          <w:rFonts w:eastAsiaTheme="minorEastAsia"/>
          <w:kern w:val="0"/>
          <w:sz w:val="28"/>
          <w:szCs w:val="36"/>
        </w:rPr>
        <w:t>》并通过验收组验收</w:t>
      </w:r>
      <w:r>
        <w:rPr>
          <w:rFonts w:hint="eastAsia" w:eastAsiaTheme="minorEastAsia"/>
          <w:kern w:val="0"/>
          <w:sz w:val="28"/>
          <w:szCs w:val="36"/>
          <w:lang w:eastAsia="zh-CN"/>
        </w:rPr>
        <w:t>。</w:t>
      </w:r>
    </w:p>
    <w:p w14:paraId="4F9E37DC">
      <w:pPr>
        <w:shd w:val="clear" w:color="auto" w:fill="FFFFFF"/>
        <w:adjustRightInd w:val="0"/>
        <w:snapToGrid w:val="0"/>
        <w:ind w:firstLine="480" w:firstLineChars="200"/>
        <w:rPr>
          <w:rFonts w:eastAsiaTheme="minorEastAsia"/>
          <w:kern w:val="0"/>
          <w:sz w:val="24"/>
          <w:szCs w:val="32"/>
        </w:rPr>
      </w:pPr>
    </w:p>
    <w:p w14:paraId="23DCB8AD">
      <w:pPr>
        <w:shd w:val="clear" w:color="auto" w:fill="FFFFFF"/>
        <w:adjustRightInd w:val="0"/>
        <w:snapToGrid w:val="0"/>
        <w:ind w:firstLine="480" w:firstLineChars="200"/>
        <w:rPr>
          <w:rFonts w:hint="eastAsia" w:eastAsiaTheme="minorEastAsia"/>
          <w:kern w:val="0"/>
          <w:sz w:val="24"/>
          <w:szCs w:val="32"/>
        </w:rPr>
      </w:pPr>
    </w:p>
    <w:p w14:paraId="5BF42F76">
      <w:pPr>
        <w:autoSpaceDE w:val="0"/>
        <w:autoSpaceDN w:val="0"/>
        <w:snapToGrid w:val="0"/>
        <w:ind w:firstLine="723" w:firstLineChars="300"/>
        <w:rPr>
          <w:rFonts w:eastAsiaTheme="minorEastAsia"/>
          <w:b/>
          <w:bCs/>
          <w:snapToGrid w:val="0"/>
          <w:kern w:val="0"/>
          <w:sz w:val="24"/>
        </w:rPr>
      </w:pPr>
    </w:p>
    <w:p w14:paraId="75CBDB8D">
      <w:pPr>
        <w:widowControl/>
        <w:jc w:val="left"/>
        <w:rPr>
          <w:rFonts w:eastAsiaTheme="minorEastAsia"/>
          <w:b/>
          <w:bCs/>
          <w:snapToGrid w:val="0"/>
          <w:kern w:val="0"/>
          <w:sz w:val="24"/>
        </w:rPr>
      </w:pPr>
      <w:r>
        <w:rPr>
          <w:rFonts w:eastAsiaTheme="minorEastAsia"/>
          <w:b/>
          <w:bCs/>
          <w:snapToGrid w:val="0"/>
          <w:kern w:val="0"/>
          <w:sz w:val="24"/>
        </w:rPr>
        <w:br w:type="page"/>
      </w:r>
    </w:p>
    <w:p w14:paraId="18C387EE">
      <w:pPr>
        <w:autoSpaceDE w:val="0"/>
        <w:autoSpaceDN w:val="0"/>
        <w:snapToGrid w:val="0"/>
        <w:ind w:firstLine="723" w:firstLineChars="300"/>
        <w:rPr>
          <w:rFonts w:eastAsiaTheme="minorEastAsia"/>
          <w:b/>
          <w:bCs/>
          <w:snapToGrid w:val="0"/>
          <w:kern w:val="0"/>
          <w:sz w:val="24"/>
        </w:rPr>
      </w:pPr>
    </w:p>
    <w:p w14:paraId="1291579E">
      <w:pPr>
        <w:rPr>
          <w:rFonts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BDA"/>
    <w:rsid w:val="00004B1B"/>
    <w:rsid w:val="00020DFA"/>
    <w:rsid w:val="00026093"/>
    <w:rsid w:val="00030020"/>
    <w:rsid w:val="000457AC"/>
    <w:rsid w:val="000469AB"/>
    <w:rsid w:val="00076C57"/>
    <w:rsid w:val="000818AA"/>
    <w:rsid w:val="000C4B1F"/>
    <w:rsid w:val="000D75B9"/>
    <w:rsid w:val="000E30A3"/>
    <w:rsid w:val="00185406"/>
    <w:rsid w:val="001B10A2"/>
    <w:rsid w:val="001C51A0"/>
    <w:rsid w:val="00293CC7"/>
    <w:rsid w:val="00294E77"/>
    <w:rsid w:val="0031475E"/>
    <w:rsid w:val="00337FF1"/>
    <w:rsid w:val="003463BD"/>
    <w:rsid w:val="003515CB"/>
    <w:rsid w:val="00372DEB"/>
    <w:rsid w:val="003E2B75"/>
    <w:rsid w:val="004203E1"/>
    <w:rsid w:val="004432DC"/>
    <w:rsid w:val="0046024D"/>
    <w:rsid w:val="00495580"/>
    <w:rsid w:val="004E5734"/>
    <w:rsid w:val="00554CBD"/>
    <w:rsid w:val="00565624"/>
    <w:rsid w:val="00574C8C"/>
    <w:rsid w:val="00586FE2"/>
    <w:rsid w:val="00595968"/>
    <w:rsid w:val="005C1DFA"/>
    <w:rsid w:val="005E1A1E"/>
    <w:rsid w:val="0061132B"/>
    <w:rsid w:val="00616242"/>
    <w:rsid w:val="00625A8E"/>
    <w:rsid w:val="006C5720"/>
    <w:rsid w:val="006C662E"/>
    <w:rsid w:val="007011C8"/>
    <w:rsid w:val="00724BC6"/>
    <w:rsid w:val="0076136C"/>
    <w:rsid w:val="00770AC5"/>
    <w:rsid w:val="00787E0F"/>
    <w:rsid w:val="008624AB"/>
    <w:rsid w:val="008B7E51"/>
    <w:rsid w:val="0099333C"/>
    <w:rsid w:val="009C1946"/>
    <w:rsid w:val="009D42B1"/>
    <w:rsid w:val="009D73CF"/>
    <w:rsid w:val="009D7B84"/>
    <w:rsid w:val="00A45735"/>
    <w:rsid w:val="00B16757"/>
    <w:rsid w:val="00B26E73"/>
    <w:rsid w:val="00BA3764"/>
    <w:rsid w:val="00BA5E91"/>
    <w:rsid w:val="00BB6C3E"/>
    <w:rsid w:val="00BE636E"/>
    <w:rsid w:val="00C13DA2"/>
    <w:rsid w:val="00D13D89"/>
    <w:rsid w:val="00D15E69"/>
    <w:rsid w:val="00D20FD8"/>
    <w:rsid w:val="00D2453F"/>
    <w:rsid w:val="00D70675"/>
    <w:rsid w:val="00DA2BDA"/>
    <w:rsid w:val="00DF40D2"/>
    <w:rsid w:val="00E04294"/>
    <w:rsid w:val="00E0576F"/>
    <w:rsid w:val="00E53D32"/>
    <w:rsid w:val="00E825C9"/>
    <w:rsid w:val="00E93A33"/>
    <w:rsid w:val="00EA618D"/>
    <w:rsid w:val="00ED0CB4"/>
    <w:rsid w:val="00F34774"/>
    <w:rsid w:val="00F92B89"/>
    <w:rsid w:val="00FB4B86"/>
    <w:rsid w:val="00FD5D05"/>
    <w:rsid w:val="00FF784A"/>
    <w:rsid w:val="022364FE"/>
    <w:rsid w:val="04B44B49"/>
    <w:rsid w:val="076F4505"/>
    <w:rsid w:val="0C3C3C66"/>
    <w:rsid w:val="152D07A5"/>
    <w:rsid w:val="15606138"/>
    <w:rsid w:val="17372983"/>
    <w:rsid w:val="192A780B"/>
    <w:rsid w:val="2A6C580B"/>
    <w:rsid w:val="321873AA"/>
    <w:rsid w:val="32A10A97"/>
    <w:rsid w:val="4685139E"/>
    <w:rsid w:val="48742194"/>
    <w:rsid w:val="488E4B80"/>
    <w:rsid w:val="4DD3102D"/>
    <w:rsid w:val="4E4B5D2C"/>
    <w:rsid w:val="52F548BF"/>
    <w:rsid w:val="54D128C5"/>
    <w:rsid w:val="5A2E41BB"/>
    <w:rsid w:val="5B5D61DB"/>
    <w:rsid w:val="5FCB0381"/>
    <w:rsid w:val="6B7733BA"/>
    <w:rsid w:val="71E16DF9"/>
    <w:rsid w:val="72365EE2"/>
    <w:rsid w:val="7AC93CB7"/>
    <w:rsid w:val="7EDC1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39"/>
    <w:qFormat/>
    <w:uiPriority w:val="0"/>
    <w:rPr>
      <w:sz w:val="18"/>
      <w:szCs w:val="18"/>
    </w:rPr>
  </w:style>
  <w:style w:type="paragraph" w:styleId="7">
    <w:name w:val="footer"/>
    <w:basedOn w:val="1"/>
    <w:link w:val="38"/>
    <w:unhideWhenUsed/>
    <w:qFormat/>
    <w:uiPriority w:val="99"/>
    <w:pPr>
      <w:tabs>
        <w:tab w:val="center" w:pos="4153"/>
        <w:tab w:val="right" w:pos="8306"/>
      </w:tabs>
      <w:snapToGrid w:val="0"/>
      <w:jc w:val="left"/>
    </w:pPr>
    <w:rPr>
      <w:sz w:val="18"/>
      <w:szCs w:val="18"/>
    </w:rPr>
  </w:style>
  <w:style w:type="paragraph" w:styleId="8">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FollowedHyperlink"/>
    <w:basedOn w:val="10"/>
    <w:semiHidden/>
    <w:unhideWhenUsed/>
    <w:qFormat/>
    <w:uiPriority w:val="99"/>
    <w:rPr>
      <w:color w:val="2490F8"/>
      <w:u w:val="none"/>
    </w:rPr>
  </w:style>
  <w:style w:type="character" w:styleId="12">
    <w:name w:val="HTML Definition"/>
    <w:basedOn w:val="10"/>
    <w:semiHidden/>
    <w:unhideWhenUsed/>
    <w:qFormat/>
    <w:uiPriority w:val="99"/>
  </w:style>
  <w:style w:type="character" w:styleId="13">
    <w:name w:val="HTML Variable"/>
    <w:basedOn w:val="10"/>
    <w:semiHidden/>
    <w:unhideWhenUsed/>
    <w:qFormat/>
    <w:uiPriority w:val="99"/>
  </w:style>
  <w:style w:type="character" w:styleId="14">
    <w:name w:val="Hyperlink"/>
    <w:basedOn w:val="10"/>
    <w:qFormat/>
    <w:uiPriority w:val="0"/>
    <w:rPr>
      <w:color w:val="296FBE"/>
      <w:u w:val="single"/>
    </w:rPr>
  </w:style>
  <w:style w:type="character" w:styleId="15">
    <w:name w:val="HTML Code"/>
    <w:basedOn w:val="10"/>
    <w:semiHidden/>
    <w:unhideWhenUsed/>
    <w:qFormat/>
    <w:uiPriority w:val="99"/>
    <w:rPr>
      <w:rFonts w:ascii="Courier New" w:hAnsi="Courier New"/>
      <w:color w:val="999999"/>
      <w:sz w:val="14"/>
      <w:szCs w:val="14"/>
      <w:shd w:val="clear" w:fill="FAFAFA"/>
    </w:rPr>
  </w:style>
  <w:style w:type="character" w:styleId="16">
    <w:name w:val="HTML Cite"/>
    <w:basedOn w:val="10"/>
    <w:semiHidden/>
    <w:unhideWhenUsed/>
    <w:qFormat/>
    <w:uiPriority w:val="99"/>
  </w:style>
  <w:style w:type="paragraph" w:customStyle="1" w:styleId="17">
    <w:name w:val="1-备注"/>
    <w:basedOn w:val="1"/>
    <w:next w:val="1"/>
    <w:link w:val="18"/>
    <w:qFormat/>
    <w:uiPriority w:val="0"/>
    <w:pPr>
      <w:widowControl/>
      <w:jc w:val="left"/>
    </w:pPr>
    <w:rPr>
      <w:i/>
      <w:lang w:eastAsia="en-US" w:bidi="en-US"/>
    </w:rPr>
  </w:style>
  <w:style w:type="character" w:customStyle="1" w:styleId="18">
    <w:name w:val="1-备注 Char"/>
    <w:link w:val="17"/>
    <w:qFormat/>
    <w:uiPriority w:val="0"/>
    <w:rPr>
      <w:rFonts w:ascii="Times New Roman" w:hAnsi="Times New Roman" w:eastAsia="宋体"/>
      <w:i/>
      <w:szCs w:val="24"/>
      <w:lang w:eastAsia="en-US" w:bidi="en-US"/>
    </w:rPr>
  </w:style>
  <w:style w:type="paragraph" w:customStyle="1" w:styleId="19">
    <w:name w:val="1-标题1"/>
    <w:basedOn w:val="2"/>
    <w:link w:val="20"/>
    <w:qFormat/>
    <w:uiPriority w:val="0"/>
    <w:pPr>
      <w:tabs>
        <w:tab w:val="left" w:pos="1960"/>
      </w:tabs>
      <w:spacing w:before="0" w:after="0" w:line="360" w:lineRule="auto"/>
      <w:jc w:val="left"/>
    </w:pPr>
    <w:rPr>
      <w:rFonts w:eastAsia="黑体"/>
      <w:sz w:val="36"/>
    </w:rPr>
  </w:style>
  <w:style w:type="character" w:customStyle="1" w:styleId="20">
    <w:name w:val="1-标题1 Char"/>
    <w:basedOn w:val="21"/>
    <w:link w:val="19"/>
    <w:qFormat/>
    <w:uiPriority w:val="0"/>
    <w:rPr>
      <w:rFonts w:ascii="Times New Roman" w:hAnsi="Times New Roman" w:eastAsia="黑体"/>
      <w:kern w:val="44"/>
      <w:sz w:val="36"/>
      <w:szCs w:val="44"/>
    </w:rPr>
  </w:style>
  <w:style w:type="character" w:customStyle="1" w:styleId="21">
    <w:name w:val="标题 1 字符"/>
    <w:basedOn w:val="10"/>
    <w:link w:val="2"/>
    <w:qFormat/>
    <w:uiPriority w:val="9"/>
    <w:rPr>
      <w:b/>
      <w:bCs/>
      <w:kern w:val="44"/>
      <w:sz w:val="44"/>
      <w:szCs w:val="44"/>
    </w:rPr>
  </w:style>
  <w:style w:type="paragraph" w:customStyle="1" w:styleId="22">
    <w:name w:val="1-标题2"/>
    <w:basedOn w:val="3"/>
    <w:link w:val="23"/>
    <w:qFormat/>
    <w:uiPriority w:val="0"/>
    <w:pPr>
      <w:keepNext w:val="0"/>
      <w:keepLines w:val="0"/>
      <w:spacing w:before="0" w:after="0" w:line="360" w:lineRule="auto"/>
      <w:jc w:val="left"/>
    </w:pPr>
    <w:rPr>
      <w:rFonts w:ascii="Times New Roman" w:hAnsi="Times New Roman" w:eastAsia="黑体"/>
      <w:bCs w:val="0"/>
    </w:rPr>
  </w:style>
  <w:style w:type="character" w:customStyle="1" w:styleId="23">
    <w:name w:val="1-标题2 Char"/>
    <w:basedOn w:val="24"/>
    <w:link w:val="22"/>
    <w:qFormat/>
    <w:uiPriority w:val="0"/>
    <w:rPr>
      <w:rFonts w:ascii="Times New Roman" w:hAnsi="Times New Roman" w:eastAsia="黑体" w:cstheme="majorBidi"/>
      <w:bCs w:val="0"/>
      <w:sz w:val="32"/>
      <w:szCs w:val="32"/>
    </w:rPr>
  </w:style>
  <w:style w:type="character" w:customStyle="1" w:styleId="24">
    <w:name w:val="标题 2 字符"/>
    <w:basedOn w:val="10"/>
    <w:link w:val="3"/>
    <w:semiHidden/>
    <w:qFormat/>
    <w:uiPriority w:val="9"/>
    <w:rPr>
      <w:rFonts w:asciiTheme="majorHAnsi" w:hAnsiTheme="majorHAnsi" w:eastAsiaTheme="majorEastAsia" w:cstheme="majorBidi"/>
      <w:b/>
      <w:bCs/>
      <w:sz w:val="32"/>
      <w:szCs w:val="32"/>
    </w:rPr>
  </w:style>
  <w:style w:type="paragraph" w:customStyle="1" w:styleId="25">
    <w:name w:val="1-标题3"/>
    <w:basedOn w:val="4"/>
    <w:link w:val="26"/>
    <w:qFormat/>
    <w:uiPriority w:val="0"/>
    <w:pPr>
      <w:keepNext w:val="0"/>
      <w:keepLines w:val="0"/>
      <w:tabs>
        <w:tab w:val="left" w:pos="644"/>
      </w:tabs>
      <w:spacing w:before="0" w:after="0" w:line="360" w:lineRule="auto"/>
      <w:jc w:val="left"/>
    </w:pPr>
    <w:rPr>
      <w:rFonts w:eastAsia="黑体"/>
      <w:sz w:val="28"/>
      <w:szCs w:val="30"/>
    </w:rPr>
  </w:style>
  <w:style w:type="character" w:customStyle="1" w:styleId="26">
    <w:name w:val="1-标题3 Char"/>
    <w:basedOn w:val="27"/>
    <w:link w:val="25"/>
    <w:qFormat/>
    <w:uiPriority w:val="0"/>
    <w:rPr>
      <w:rFonts w:ascii="Times New Roman" w:hAnsi="Times New Roman" w:eastAsia="黑体"/>
      <w:sz w:val="28"/>
      <w:szCs w:val="30"/>
    </w:rPr>
  </w:style>
  <w:style w:type="character" w:customStyle="1" w:styleId="27">
    <w:name w:val="标题 3 字符"/>
    <w:basedOn w:val="10"/>
    <w:link w:val="4"/>
    <w:semiHidden/>
    <w:qFormat/>
    <w:uiPriority w:val="9"/>
    <w:rPr>
      <w:b/>
      <w:bCs/>
      <w:sz w:val="32"/>
      <w:szCs w:val="32"/>
    </w:rPr>
  </w:style>
  <w:style w:type="paragraph" w:customStyle="1" w:styleId="28">
    <w:name w:val="1-标题4"/>
    <w:basedOn w:val="5"/>
    <w:link w:val="29"/>
    <w:qFormat/>
    <w:uiPriority w:val="0"/>
    <w:pPr>
      <w:tabs>
        <w:tab w:val="left" w:pos="0"/>
        <w:tab w:val="left" w:pos="420"/>
      </w:tabs>
      <w:spacing w:before="0" w:after="0" w:line="360" w:lineRule="auto"/>
      <w:ind w:right="-105"/>
      <w:jc w:val="left"/>
    </w:pPr>
    <w:rPr>
      <w:rFonts w:ascii="Times New Roman" w:hAnsi="Times New Roman" w:eastAsia="宋体"/>
      <w:sz w:val="24"/>
    </w:rPr>
  </w:style>
  <w:style w:type="character" w:customStyle="1" w:styleId="29">
    <w:name w:val="1-标题4 Char"/>
    <w:basedOn w:val="30"/>
    <w:link w:val="28"/>
    <w:qFormat/>
    <w:uiPriority w:val="0"/>
    <w:rPr>
      <w:rFonts w:ascii="Times New Roman" w:hAnsi="Times New Roman" w:eastAsia="宋体" w:cstheme="majorBidi"/>
      <w:sz w:val="24"/>
      <w:szCs w:val="28"/>
    </w:rPr>
  </w:style>
  <w:style w:type="character" w:customStyle="1" w:styleId="30">
    <w:name w:val="标题 4 字符"/>
    <w:basedOn w:val="10"/>
    <w:link w:val="5"/>
    <w:semiHidden/>
    <w:qFormat/>
    <w:uiPriority w:val="9"/>
    <w:rPr>
      <w:rFonts w:asciiTheme="majorHAnsi" w:hAnsiTheme="majorHAnsi" w:eastAsiaTheme="majorEastAsia" w:cstheme="majorBidi"/>
      <w:b/>
      <w:bCs/>
      <w:sz w:val="28"/>
      <w:szCs w:val="28"/>
    </w:rPr>
  </w:style>
  <w:style w:type="paragraph" w:customStyle="1" w:styleId="31">
    <w:name w:val="1-表（图）头"/>
    <w:basedOn w:val="1"/>
    <w:link w:val="32"/>
    <w:qFormat/>
    <w:uiPriority w:val="0"/>
    <w:pPr>
      <w:adjustRightInd w:val="0"/>
      <w:jc w:val="center"/>
      <w:outlineLvl w:val="4"/>
    </w:pPr>
    <w:rPr>
      <w:rFonts w:eastAsia="黑体"/>
      <w:b/>
      <w:sz w:val="24"/>
    </w:rPr>
  </w:style>
  <w:style w:type="character" w:customStyle="1" w:styleId="32">
    <w:name w:val="1-表（图）头 Char"/>
    <w:link w:val="31"/>
    <w:qFormat/>
    <w:uiPriority w:val="0"/>
    <w:rPr>
      <w:rFonts w:ascii="Times New Roman" w:hAnsi="Times New Roman" w:eastAsia="黑体"/>
      <w:b/>
      <w:sz w:val="24"/>
    </w:rPr>
  </w:style>
  <w:style w:type="paragraph" w:customStyle="1" w:styleId="33">
    <w:name w:val="1-表格内文字"/>
    <w:basedOn w:val="1"/>
    <w:link w:val="34"/>
    <w:qFormat/>
    <w:uiPriority w:val="0"/>
    <w:pPr>
      <w:tabs>
        <w:tab w:val="left" w:pos="0"/>
      </w:tabs>
      <w:adjustRightInd w:val="0"/>
      <w:snapToGrid w:val="0"/>
      <w:jc w:val="center"/>
    </w:pPr>
    <w:rPr>
      <w:snapToGrid w:val="0"/>
      <w:szCs w:val="21"/>
    </w:rPr>
  </w:style>
  <w:style w:type="character" w:customStyle="1" w:styleId="34">
    <w:name w:val="1-表格内文字 Char"/>
    <w:link w:val="33"/>
    <w:qFormat/>
    <w:uiPriority w:val="0"/>
    <w:rPr>
      <w:rFonts w:ascii="Times New Roman" w:hAnsi="Times New Roman" w:eastAsia="宋体"/>
      <w:snapToGrid w:val="0"/>
      <w:szCs w:val="21"/>
    </w:rPr>
  </w:style>
  <w:style w:type="paragraph" w:customStyle="1" w:styleId="35">
    <w:name w:val="1-正文"/>
    <w:basedOn w:val="1"/>
    <w:link w:val="36"/>
    <w:qFormat/>
    <w:uiPriority w:val="0"/>
    <w:pPr>
      <w:spacing w:line="360" w:lineRule="auto"/>
      <w:ind w:firstLine="200" w:firstLineChars="200"/>
    </w:pPr>
    <w:rPr>
      <w:sz w:val="24"/>
    </w:rPr>
  </w:style>
  <w:style w:type="character" w:customStyle="1" w:styleId="36">
    <w:name w:val="1-正文 Char"/>
    <w:link w:val="35"/>
    <w:qFormat/>
    <w:uiPriority w:val="0"/>
    <w:rPr>
      <w:rFonts w:ascii="Times New Roman" w:hAnsi="Times New Roman" w:eastAsia="宋体"/>
      <w:sz w:val="24"/>
      <w:szCs w:val="24"/>
    </w:rPr>
  </w:style>
  <w:style w:type="character" w:customStyle="1" w:styleId="37">
    <w:name w:val="页眉 字符"/>
    <w:basedOn w:val="10"/>
    <w:link w:val="8"/>
    <w:qFormat/>
    <w:uiPriority w:val="99"/>
    <w:rPr>
      <w:sz w:val="18"/>
      <w:szCs w:val="18"/>
    </w:rPr>
  </w:style>
  <w:style w:type="character" w:customStyle="1" w:styleId="38">
    <w:name w:val="页脚 字符"/>
    <w:basedOn w:val="10"/>
    <w:link w:val="7"/>
    <w:qFormat/>
    <w:uiPriority w:val="99"/>
    <w:rPr>
      <w:sz w:val="18"/>
      <w:szCs w:val="18"/>
    </w:rPr>
  </w:style>
  <w:style w:type="character" w:customStyle="1" w:styleId="39">
    <w:name w:val="批注框文本 字符"/>
    <w:basedOn w:val="10"/>
    <w:link w:val="6"/>
    <w:qFormat/>
    <w:uiPriority w:val="0"/>
    <w:rPr>
      <w:rFonts w:ascii="Times New Roman" w:hAnsi="Times New Roman" w:eastAsia="宋体" w:cs="Times New Roman"/>
      <w:sz w:val="18"/>
      <w:szCs w:val="18"/>
    </w:rPr>
  </w:style>
  <w:style w:type="character" w:customStyle="1" w:styleId="40">
    <w:name w:val="Unresolved Mention"/>
    <w:basedOn w:val="10"/>
    <w:semiHidden/>
    <w:unhideWhenUsed/>
    <w:qFormat/>
    <w:uiPriority w:val="99"/>
    <w:rPr>
      <w:color w:val="605E5C"/>
      <w:shd w:val="clear" w:color="auto" w:fill="E1DFDD"/>
    </w:rPr>
  </w:style>
  <w:style w:type="character" w:customStyle="1" w:styleId="41">
    <w:name w:val="first-child"/>
    <w:basedOn w:val="10"/>
    <w:qFormat/>
    <w:uiPriority w:val="0"/>
  </w:style>
  <w:style w:type="character" w:customStyle="1" w:styleId="42">
    <w:name w:val="button4"/>
    <w:basedOn w:val="10"/>
    <w:qFormat/>
    <w:uiPriority w:val="0"/>
  </w:style>
  <w:style w:type="character" w:customStyle="1" w:styleId="43">
    <w:name w:val="tmpztreemove_arrow"/>
    <w:basedOn w:val="10"/>
    <w:qFormat/>
    <w:uiPriority w:val="0"/>
  </w:style>
  <w:style w:type="character" w:customStyle="1" w:styleId="44">
    <w:name w:val="ico1653"/>
    <w:basedOn w:val="10"/>
    <w:qFormat/>
    <w:uiPriority w:val="0"/>
  </w:style>
  <w:style w:type="character" w:customStyle="1" w:styleId="45">
    <w:name w:val="xdrichtextbox"/>
    <w:basedOn w:val="10"/>
    <w:qFormat/>
    <w:uiPriority w:val="0"/>
    <w:rPr>
      <w:color w:val="auto"/>
      <w:sz w:val="12"/>
      <w:szCs w:val="12"/>
      <w:u w:val="none"/>
      <w:bdr w:val="single" w:color="DCDCDC" w:sz="8" w:space="0"/>
      <w:shd w:val="clear" w:fill="auto"/>
    </w:rPr>
  </w:style>
  <w:style w:type="character" w:customStyle="1" w:styleId="46">
    <w:name w:val="hover41"/>
    <w:basedOn w:val="10"/>
    <w:qFormat/>
    <w:uiPriority w:val="0"/>
    <w:rPr>
      <w:color w:val="FFFFFF"/>
    </w:rPr>
  </w:style>
  <w:style w:type="character" w:customStyle="1" w:styleId="47">
    <w:name w:val="drapbtn"/>
    <w:basedOn w:val="10"/>
    <w:qFormat/>
    <w:uiPriority w:val="0"/>
  </w:style>
  <w:style w:type="character" w:customStyle="1" w:styleId="48">
    <w:name w:val="cdropright"/>
    <w:basedOn w:val="10"/>
    <w:qFormat/>
    <w:uiPriority w:val="0"/>
  </w:style>
  <w:style w:type="character" w:customStyle="1" w:styleId="49">
    <w:name w:val="choosename"/>
    <w:basedOn w:val="10"/>
    <w:qFormat/>
    <w:uiPriority w:val="0"/>
  </w:style>
  <w:style w:type="character" w:customStyle="1" w:styleId="50">
    <w:name w:val="associateddata"/>
    <w:basedOn w:val="10"/>
    <w:qFormat/>
    <w:uiPriority w:val="0"/>
    <w:rPr>
      <w:shd w:val="clear" w:fill="50A6F9"/>
    </w:rPr>
  </w:style>
  <w:style w:type="character" w:customStyle="1" w:styleId="51">
    <w:name w:val="pagechatarealistclose_box"/>
    <w:basedOn w:val="10"/>
    <w:qFormat/>
    <w:uiPriority w:val="0"/>
  </w:style>
  <w:style w:type="character" w:customStyle="1" w:styleId="52">
    <w:name w:val="pagechatarealistclose_box1"/>
    <w:basedOn w:val="10"/>
    <w:qFormat/>
    <w:uiPriority w:val="0"/>
  </w:style>
  <w:style w:type="character" w:customStyle="1" w:styleId="53">
    <w:name w:val="edit_class"/>
    <w:basedOn w:val="10"/>
    <w:qFormat/>
    <w:uiPriority w:val="0"/>
  </w:style>
  <w:style w:type="character" w:customStyle="1" w:styleId="54">
    <w:name w:val="icontext2"/>
    <w:basedOn w:val="10"/>
    <w:qFormat/>
    <w:uiPriority w:val="0"/>
  </w:style>
  <w:style w:type="character" w:customStyle="1" w:styleId="55">
    <w:name w:val="icontext3"/>
    <w:basedOn w:val="10"/>
    <w:qFormat/>
    <w:uiPriority w:val="0"/>
  </w:style>
  <w:style w:type="character" w:customStyle="1" w:styleId="56">
    <w:name w:val="active"/>
    <w:basedOn w:val="10"/>
    <w:qFormat/>
    <w:uiPriority w:val="0"/>
    <w:rPr>
      <w:shd w:val="clear" w:fill="EC3535"/>
    </w:rPr>
  </w:style>
  <w:style w:type="character" w:customStyle="1" w:styleId="57">
    <w:name w:val="active1"/>
    <w:basedOn w:val="10"/>
    <w:qFormat/>
    <w:uiPriority w:val="0"/>
    <w:rPr>
      <w:color w:val="00FF00"/>
      <w:shd w:val="clear" w:fill="111111"/>
    </w:rPr>
  </w:style>
  <w:style w:type="character" w:customStyle="1" w:styleId="58">
    <w:name w:val="cy"/>
    <w:basedOn w:val="10"/>
    <w:qFormat/>
    <w:uiPriority w:val="0"/>
  </w:style>
  <w:style w:type="character" w:customStyle="1" w:styleId="59">
    <w:name w:val="design_class"/>
    <w:basedOn w:val="10"/>
    <w:qFormat/>
    <w:uiPriority w:val="0"/>
  </w:style>
  <w:style w:type="character" w:customStyle="1" w:styleId="60">
    <w:name w:val="cdropleft"/>
    <w:basedOn w:val="10"/>
    <w:qFormat/>
    <w:uiPriority w:val="0"/>
  </w:style>
  <w:style w:type="character" w:customStyle="1" w:styleId="61">
    <w:name w:val="w32"/>
    <w:basedOn w:val="10"/>
    <w:qFormat/>
    <w:uiPriority w:val="0"/>
  </w:style>
  <w:style w:type="character" w:customStyle="1" w:styleId="62">
    <w:name w:val="icontext1"/>
    <w:basedOn w:val="10"/>
    <w:qFormat/>
    <w:uiPriority w:val="0"/>
  </w:style>
  <w:style w:type="character" w:customStyle="1" w:styleId="63">
    <w:name w:val="icontext11"/>
    <w:basedOn w:val="10"/>
    <w:qFormat/>
    <w:uiPriority w:val="0"/>
  </w:style>
  <w:style w:type="character" w:customStyle="1" w:styleId="64">
    <w:name w:val="layui-layer-tabnow"/>
    <w:basedOn w:val="10"/>
    <w:qFormat/>
    <w:uiPriority w:val="0"/>
    <w:rPr>
      <w:bdr w:val="single" w:color="CCCCCC" w:sz="4" w:space="0"/>
      <w:shd w:val="clear" w:fill="FFFFFF"/>
    </w:rPr>
  </w:style>
  <w:style w:type="character" w:customStyle="1" w:styleId="65">
    <w:name w:val="iconline2"/>
    <w:basedOn w:val="10"/>
    <w:qFormat/>
    <w:uiPriority w:val="0"/>
  </w:style>
  <w:style w:type="character" w:customStyle="1" w:styleId="66">
    <w:name w:val="iconline21"/>
    <w:basedOn w:val="10"/>
    <w:qFormat/>
    <w:uiPriority w:val="0"/>
  </w:style>
  <w:style w:type="character" w:customStyle="1" w:styleId="67">
    <w:name w:val="hilite"/>
    <w:basedOn w:val="10"/>
    <w:qFormat/>
    <w:uiPriority w:val="0"/>
    <w:rPr>
      <w:color w:val="FFFFFF"/>
      <w:shd w:val="clear" w:fill="666666"/>
    </w:rPr>
  </w:style>
  <w:style w:type="character" w:customStyle="1" w:styleId="68">
    <w:name w:val="after"/>
    <w:basedOn w:val="10"/>
    <w:qFormat/>
    <w:uiPriority w:val="0"/>
    <w:rPr>
      <w:sz w:val="0"/>
      <w:szCs w:val="0"/>
    </w:rPr>
  </w:style>
  <w:style w:type="character" w:customStyle="1" w:styleId="69">
    <w:name w:val="biggerthanmax"/>
    <w:basedOn w:val="10"/>
    <w:qFormat/>
    <w:uiPriority w:val="0"/>
    <w:rPr>
      <w:shd w:val="clear" w:fill="FFFF00"/>
    </w:rPr>
  </w:style>
  <w:style w:type="character" w:customStyle="1" w:styleId="70">
    <w:name w:val="xdrichtextbox2"/>
    <w:basedOn w:val="10"/>
    <w:qFormat/>
    <w:uiPriority w:val="0"/>
  </w:style>
  <w:style w:type="character" w:customStyle="1" w:styleId="71">
    <w:name w:val="active5"/>
    <w:basedOn w:val="10"/>
    <w:qFormat/>
    <w:uiPriority w:val="0"/>
    <w:rPr>
      <w:shd w:val="clear" w:fill="EC3535"/>
    </w:rPr>
  </w:style>
  <w:style w:type="character" w:customStyle="1" w:styleId="72">
    <w:name w:val="active6"/>
    <w:basedOn w:val="10"/>
    <w:qFormat/>
    <w:uiPriority w:val="0"/>
    <w:rPr>
      <w:color w:val="00FF00"/>
      <w:shd w:val="clear" w:fill="111111"/>
    </w:rPr>
  </w:style>
  <w:style w:type="character" w:customStyle="1" w:styleId="73">
    <w:name w:val="icontext12"/>
    <w:basedOn w:val="10"/>
    <w:qFormat/>
    <w:uiPriority w:val="0"/>
  </w:style>
  <w:style w:type="character" w:customStyle="1" w:styleId="74">
    <w:name w:val="ico1654"/>
    <w:basedOn w:val="10"/>
    <w:qFormat/>
    <w:uiPriority w:val="0"/>
  </w:style>
  <w:style w:type="character" w:customStyle="1" w:styleId="75">
    <w:name w:val="ico1655"/>
    <w:basedOn w:val="10"/>
    <w:qFormat/>
    <w:uiPriority w:val="0"/>
  </w:style>
  <w:style w:type="character" w:customStyle="1" w:styleId="76">
    <w:name w:val="hover39"/>
    <w:basedOn w:val="10"/>
    <w:qFormat/>
    <w:uiPriority w:val="0"/>
    <w:rPr>
      <w:color w:va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959</Words>
  <Characters>981</Characters>
  <Lines>16</Lines>
  <Paragraphs>4</Paragraphs>
  <TotalTime>2</TotalTime>
  <ScaleCrop>false</ScaleCrop>
  <LinksUpToDate>false</LinksUpToDate>
  <CharactersWithSpaces>984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2026-03-23T02:52:00Z</dcterms:created>
  <dc:creator>1</dc:creator>
  <cp:lastModifiedBy>安正～～牛海龙</cp:lastModifiedBy>
  <dcterms:modified xsi:type="dcterms:W3CDTF">2026-05-29T09:53:00Z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eyJoZGlkIjoiMDUxOTZmMmQ1ZDg3ZjA1MzBhOGIzMDBhZGNjZDljYTIiLCJ1c2VySWQiOiIzODg2NjE1NDMifQ==</vt:lpwstr>
  </property>
  <property fmtid="{D5CDD505-2E9C-101B-9397-08002B2CF9AE}" pid="3" name="KSOProductBuildVer">
    <vt:lpwstr>2052-12.1.0.26375</vt:lpwstr>
  </property>
  <property fmtid="{D5CDD505-2E9C-101B-9397-08002B2CF9AE}" pid="4" name="ICV">
    <vt:lpwstr>F72C8FC2908942298A77BFF172330C70_13</vt:lpwstr>
  </property>
</Properties>
</file>